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3E0D" w14:textId="60EA9B66" w:rsidR="001F1844" w:rsidRPr="003C5BB1" w:rsidRDefault="001F1844" w:rsidP="00AD12F2">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Q</w:t>
      </w:r>
      <w:r w:rsidR="000F3BF4" w:rsidRPr="003C5BB1">
        <w:rPr>
          <w:rFonts w:ascii="Cambria" w:eastAsiaTheme="minorEastAsia" w:hAnsi="Cambria" w:cstheme="minorHAnsi"/>
          <w:color w:val="000000" w:themeColor="text1"/>
          <w:kern w:val="0"/>
          <w:lang w:bidi="en-US"/>
          <w14:ligatures w14:val="none"/>
        </w:rPr>
        <w:t>1</w:t>
      </w:r>
      <w:r w:rsidRPr="003C5BB1">
        <w:rPr>
          <w:rFonts w:ascii="Cambria" w:eastAsiaTheme="minorEastAsia" w:hAnsi="Cambria" w:cstheme="minorHAnsi"/>
          <w:color w:val="000000" w:themeColor="text1"/>
          <w:kern w:val="0"/>
          <w:lang w:bidi="en-US"/>
          <w14:ligatures w14:val="none"/>
        </w:rPr>
        <w:t>.</w:t>
      </w:r>
      <w:r w:rsidR="005E2106" w:rsidRPr="003C5BB1">
        <w:rPr>
          <w:rFonts w:ascii="Cambria" w:eastAsiaTheme="minorEastAsia" w:hAnsi="Cambria" w:cstheme="minorHAnsi"/>
          <w:color w:val="000000" w:themeColor="text1"/>
          <w:kern w:val="0"/>
          <w:lang w:bidi="en-US"/>
          <w14:ligatures w14:val="none"/>
        </w:rPr>
        <w:t xml:space="preserve"> </w:t>
      </w:r>
      <w:r w:rsidRPr="003C5BB1">
        <w:rPr>
          <w:rFonts w:ascii="Cambria" w:eastAsiaTheme="minorEastAsia" w:hAnsi="Cambria" w:cstheme="minorHAnsi"/>
          <w:color w:val="000000" w:themeColor="text1"/>
          <w:kern w:val="0"/>
          <w:lang w:bidi="en-US"/>
          <w14:ligatures w14:val="none"/>
        </w:rPr>
        <w:t xml:space="preserve">Arrange following in a sequence in which amount </w:t>
      </w:r>
      <w:proofErr w:type="spellStart"/>
      <w:r w:rsidRPr="003C5BB1">
        <w:rPr>
          <w:rFonts w:ascii="Cambria" w:eastAsiaTheme="minorEastAsia" w:hAnsi="Cambria" w:cstheme="minorHAnsi"/>
          <w:color w:val="000000" w:themeColor="text1"/>
          <w:kern w:val="0"/>
          <w:lang w:bidi="en-US"/>
          <w14:ligatures w14:val="none"/>
        </w:rPr>
        <w:t>realised</w:t>
      </w:r>
      <w:proofErr w:type="spellEnd"/>
      <w:r w:rsidRPr="003C5BB1">
        <w:rPr>
          <w:rFonts w:ascii="Cambria" w:eastAsiaTheme="minorEastAsia" w:hAnsi="Cambria" w:cstheme="minorHAnsi"/>
          <w:color w:val="000000" w:themeColor="text1"/>
          <w:kern w:val="0"/>
          <w:lang w:bidi="en-US"/>
          <w14:ligatures w14:val="none"/>
        </w:rPr>
        <w:t xml:space="preserve"> from Assets will be utilized to pay.</w:t>
      </w:r>
    </w:p>
    <w:p w14:paraId="700E3DBB" w14:textId="77777777" w:rsidR="001F1844"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A. Partner’s Loan</w:t>
      </w:r>
    </w:p>
    <w:p w14:paraId="6D6313EF" w14:textId="77777777" w:rsidR="001F1844"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B. Partner’s Capital</w:t>
      </w:r>
    </w:p>
    <w:p w14:paraId="0D00B256" w14:textId="77777777" w:rsidR="001F1844"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C. Secured debts of the firm</w:t>
      </w:r>
    </w:p>
    <w:p w14:paraId="6EC6401E" w14:textId="77777777" w:rsidR="001F1844"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D. Unsecured debts of the firm</w:t>
      </w:r>
    </w:p>
    <w:p w14:paraId="4696A58D" w14:textId="77777777" w:rsidR="001F1844"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E. Residue to partners</w:t>
      </w:r>
    </w:p>
    <w:p w14:paraId="1C59E65F" w14:textId="62969DF5" w:rsidR="001F1844" w:rsidRPr="003C5BB1" w:rsidRDefault="001F1844" w:rsidP="00083381">
      <w:pPr>
        <w:tabs>
          <w:tab w:val="left" w:pos="3510"/>
        </w:tabs>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Choose the correct answer from the options given below:</w:t>
      </w:r>
      <w:r w:rsidRPr="003C5BB1">
        <w:rPr>
          <w:rFonts w:ascii="Cambria" w:eastAsiaTheme="minorEastAsia" w:hAnsi="Cambria" w:cstheme="minorHAnsi"/>
          <w:noProof/>
          <w:color w:val="000000" w:themeColor="text1"/>
          <w:kern w:val="0"/>
          <w:lang w:bidi="en-US"/>
          <w14:ligatures w14:val="none"/>
        </w:rPr>
        <w:t xml:space="preserve"> </w:t>
      </w:r>
    </w:p>
    <w:p w14:paraId="7B1E7147" w14:textId="20CFE535" w:rsidR="00C4700B" w:rsidRPr="003C5BB1" w:rsidRDefault="001F1844" w:rsidP="00083381">
      <w:pPr>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(a) C, D, E, A, B</w:t>
      </w:r>
    </w:p>
    <w:p w14:paraId="3FE77D50" w14:textId="147C2EDC" w:rsidR="001F1844" w:rsidRPr="003C5BB1" w:rsidRDefault="001F1844" w:rsidP="001F1844">
      <w:pPr>
        <w:spacing w:after="0" w:line="240" w:lineRule="auto"/>
        <w:ind w:left="547" w:hanging="547"/>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(b) C, D, E, B, A</w:t>
      </w:r>
    </w:p>
    <w:p w14:paraId="0FCF221E" w14:textId="6298E490" w:rsidR="00D03C9E" w:rsidRPr="003C5BB1" w:rsidRDefault="001F1844" w:rsidP="001F1844">
      <w:pPr>
        <w:spacing w:after="0" w:line="240" w:lineRule="auto"/>
        <w:ind w:left="547" w:hanging="547"/>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(c) C, D, A, B, E</w:t>
      </w:r>
    </w:p>
    <w:p w14:paraId="2EBF45BF" w14:textId="57E1E305" w:rsidR="001F1844" w:rsidRPr="003C5BB1" w:rsidRDefault="001F1844" w:rsidP="001F1844">
      <w:pPr>
        <w:spacing w:after="0" w:line="240" w:lineRule="auto"/>
        <w:ind w:left="547" w:hanging="547"/>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(d) C, D, A, E, B</w:t>
      </w:r>
    </w:p>
    <w:p w14:paraId="7AE38880" w14:textId="77777777" w:rsidR="001F1844" w:rsidRPr="003C5BB1" w:rsidRDefault="001F1844" w:rsidP="001F1844">
      <w:pPr>
        <w:spacing w:after="0" w:line="240" w:lineRule="auto"/>
        <w:ind w:left="547" w:hanging="547"/>
        <w:jc w:val="both"/>
        <w:rPr>
          <w:rFonts w:ascii="Cambria" w:eastAsiaTheme="minorEastAsia" w:hAnsi="Cambria" w:cstheme="minorHAnsi"/>
          <w:color w:val="000000" w:themeColor="text1"/>
          <w:kern w:val="0"/>
          <w:lang w:bidi="en-US"/>
          <w14:ligatures w14:val="none"/>
        </w:rPr>
      </w:pPr>
    </w:p>
    <w:p w14:paraId="553BE830" w14:textId="6BFD7279" w:rsidR="009736F2" w:rsidRPr="003C5BB1" w:rsidRDefault="009736F2" w:rsidP="009736F2">
      <w:pPr>
        <w:tabs>
          <w:tab w:val="left" w:pos="3420"/>
        </w:tabs>
        <w:spacing w:after="0" w:line="240" w:lineRule="auto"/>
        <w:ind w:left="547" w:hanging="547"/>
        <w:jc w:val="both"/>
        <w:rPr>
          <w:rFonts w:ascii="Cambria" w:hAnsi="Cambria"/>
        </w:rPr>
      </w:pPr>
      <w:r w:rsidRPr="003C5BB1">
        <w:rPr>
          <w:rFonts w:ascii="Cambria" w:hAnsi="Cambria"/>
        </w:rPr>
        <w:t>Q2.</w:t>
      </w:r>
      <w:r w:rsidR="002221CD" w:rsidRPr="003C5BB1">
        <w:rPr>
          <w:rFonts w:ascii="Cambria" w:hAnsi="Cambria"/>
        </w:rPr>
        <w:t xml:space="preserve"> </w:t>
      </w:r>
      <w:r w:rsidRPr="003C5BB1">
        <w:rPr>
          <w:rFonts w:ascii="Cambria" w:hAnsi="Cambria"/>
        </w:rPr>
        <w:t xml:space="preserve">Which of the following will not be shown in </w:t>
      </w:r>
      <w:proofErr w:type="spellStart"/>
      <w:r w:rsidRPr="003C5BB1">
        <w:rPr>
          <w:rFonts w:ascii="Cambria" w:hAnsi="Cambria"/>
        </w:rPr>
        <w:t>Realisation</w:t>
      </w:r>
      <w:proofErr w:type="spellEnd"/>
      <w:r w:rsidRPr="003C5BB1">
        <w:rPr>
          <w:rFonts w:ascii="Cambria" w:hAnsi="Cambria"/>
        </w:rPr>
        <w:t xml:space="preserve"> Account? </w:t>
      </w:r>
    </w:p>
    <w:p w14:paraId="7647664E" w14:textId="77777777" w:rsidR="009736F2" w:rsidRPr="003C5BB1" w:rsidRDefault="009736F2" w:rsidP="00017102">
      <w:pPr>
        <w:spacing w:after="0" w:line="240" w:lineRule="auto"/>
        <w:jc w:val="both"/>
        <w:rPr>
          <w:rFonts w:ascii="Cambria" w:hAnsi="Cambria"/>
        </w:rPr>
      </w:pPr>
      <w:r w:rsidRPr="003C5BB1">
        <w:rPr>
          <w:rFonts w:ascii="Cambria" w:hAnsi="Cambria"/>
        </w:rPr>
        <w:t xml:space="preserve">(a) Unrecorded Asset </w:t>
      </w:r>
      <w:proofErr w:type="spellStart"/>
      <w:r w:rsidRPr="003C5BB1">
        <w:rPr>
          <w:rFonts w:ascii="Cambria" w:hAnsi="Cambria"/>
        </w:rPr>
        <w:t>realised</w:t>
      </w:r>
      <w:proofErr w:type="spellEnd"/>
    </w:p>
    <w:p w14:paraId="2C2CBB9E" w14:textId="77777777" w:rsidR="009736F2" w:rsidRPr="003C5BB1" w:rsidRDefault="009736F2" w:rsidP="00017102">
      <w:pPr>
        <w:spacing w:after="0" w:line="240" w:lineRule="auto"/>
        <w:jc w:val="both"/>
        <w:rPr>
          <w:rFonts w:ascii="Cambria" w:hAnsi="Cambria"/>
        </w:rPr>
      </w:pPr>
      <w:r w:rsidRPr="003C5BB1">
        <w:rPr>
          <w:rFonts w:ascii="Cambria" w:hAnsi="Cambria"/>
        </w:rPr>
        <w:t>(b) Unrecorded Liabilities paid off</w:t>
      </w:r>
    </w:p>
    <w:p w14:paraId="4B266AD9" w14:textId="77777777" w:rsidR="009736F2" w:rsidRPr="003C5BB1" w:rsidRDefault="009736F2" w:rsidP="00017102">
      <w:pPr>
        <w:spacing w:after="0" w:line="240" w:lineRule="auto"/>
        <w:jc w:val="both"/>
        <w:rPr>
          <w:rFonts w:ascii="Cambria" w:hAnsi="Cambria"/>
        </w:rPr>
      </w:pPr>
      <w:r w:rsidRPr="003C5BB1">
        <w:rPr>
          <w:rFonts w:ascii="Cambria" w:hAnsi="Cambria"/>
        </w:rPr>
        <w:t>(c) Partner’s Loan to the firm</w:t>
      </w:r>
    </w:p>
    <w:p w14:paraId="1BDDE77E" w14:textId="77777777" w:rsidR="009736F2" w:rsidRPr="003C5BB1" w:rsidRDefault="009736F2" w:rsidP="00017102">
      <w:pPr>
        <w:spacing w:after="0" w:line="240" w:lineRule="auto"/>
        <w:jc w:val="both"/>
        <w:rPr>
          <w:rFonts w:ascii="Cambria" w:hAnsi="Cambria"/>
        </w:rPr>
      </w:pPr>
      <w:r w:rsidRPr="003C5BB1">
        <w:rPr>
          <w:rFonts w:ascii="Cambria" w:hAnsi="Cambria"/>
        </w:rPr>
        <w:t xml:space="preserve">(d) </w:t>
      </w:r>
      <w:proofErr w:type="spellStart"/>
      <w:r w:rsidRPr="003C5BB1">
        <w:rPr>
          <w:rFonts w:ascii="Cambria" w:hAnsi="Cambria"/>
        </w:rPr>
        <w:t>Realisation</w:t>
      </w:r>
      <w:proofErr w:type="spellEnd"/>
      <w:r w:rsidRPr="003C5BB1">
        <w:rPr>
          <w:rFonts w:ascii="Cambria" w:hAnsi="Cambria"/>
        </w:rPr>
        <w:t xml:space="preserve"> Expenses</w:t>
      </w:r>
    </w:p>
    <w:p w14:paraId="25B63096" w14:textId="77777777" w:rsidR="009C3554" w:rsidRPr="003C5BB1" w:rsidRDefault="009C3554" w:rsidP="005E1108">
      <w:pPr>
        <w:spacing w:after="0" w:line="245" w:lineRule="auto"/>
        <w:jc w:val="both"/>
        <w:rPr>
          <w:rFonts w:ascii="Cambria" w:hAnsi="Cambria"/>
        </w:rPr>
      </w:pPr>
    </w:p>
    <w:p w14:paraId="46F1C700" w14:textId="15C79BF1" w:rsidR="007A586E" w:rsidRPr="003C5BB1" w:rsidRDefault="007A586E" w:rsidP="005E1108">
      <w:pPr>
        <w:spacing w:after="0" w:line="245" w:lineRule="auto"/>
        <w:jc w:val="both"/>
        <w:rPr>
          <w:rFonts w:ascii="Cambria" w:hAnsi="Cambria"/>
        </w:rPr>
      </w:pPr>
      <w:r w:rsidRPr="003C5BB1">
        <w:rPr>
          <w:rFonts w:ascii="Cambria" w:hAnsi="Cambria"/>
        </w:rPr>
        <w:t>Q3.</w:t>
      </w:r>
      <w:r w:rsidR="00AD5FCA" w:rsidRPr="003C5BB1">
        <w:rPr>
          <w:rFonts w:ascii="Cambria" w:hAnsi="Cambria"/>
        </w:rPr>
        <w:t xml:space="preserve"> </w:t>
      </w:r>
      <w:r w:rsidRPr="003C5BB1">
        <w:rPr>
          <w:rFonts w:ascii="Cambria" w:hAnsi="Cambria"/>
        </w:rPr>
        <w:t>Arrange the following in correct sequence according to the form and content of statement of Profit and Loss.</w:t>
      </w:r>
    </w:p>
    <w:p w14:paraId="446C2B35" w14:textId="77777777" w:rsidR="007A586E" w:rsidRPr="003C5BB1" w:rsidRDefault="007A586E" w:rsidP="00473A87">
      <w:pPr>
        <w:spacing w:after="0" w:line="245" w:lineRule="auto"/>
        <w:rPr>
          <w:rFonts w:ascii="Cambria" w:hAnsi="Cambria"/>
        </w:rPr>
      </w:pPr>
      <w:r w:rsidRPr="003C5BB1">
        <w:rPr>
          <w:rFonts w:ascii="Cambria" w:hAnsi="Cambria"/>
        </w:rPr>
        <w:t>(A) Employee Benefit Expenses</w:t>
      </w:r>
    </w:p>
    <w:p w14:paraId="04C272CA" w14:textId="77777777" w:rsidR="007A586E" w:rsidRPr="003C5BB1" w:rsidRDefault="007A586E" w:rsidP="00473A87">
      <w:pPr>
        <w:spacing w:after="0" w:line="245" w:lineRule="auto"/>
        <w:rPr>
          <w:rFonts w:ascii="Cambria" w:hAnsi="Cambria"/>
        </w:rPr>
      </w:pPr>
      <w:r w:rsidRPr="003C5BB1">
        <w:rPr>
          <w:rFonts w:ascii="Cambria" w:hAnsi="Cambria"/>
        </w:rPr>
        <w:t>(B) Tax provided</w:t>
      </w:r>
    </w:p>
    <w:p w14:paraId="32BA5D64" w14:textId="77777777" w:rsidR="007A586E" w:rsidRPr="003C5BB1" w:rsidRDefault="007A586E" w:rsidP="00473A87">
      <w:pPr>
        <w:spacing w:after="0" w:line="245" w:lineRule="auto"/>
        <w:rPr>
          <w:rFonts w:ascii="Cambria" w:hAnsi="Cambria"/>
        </w:rPr>
      </w:pPr>
      <w:r w:rsidRPr="003C5BB1">
        <w:rPr>
          <w:rFonts w:ascii="Cambria" w:hAnsi="Cambria"/>
        </w:rPr>
        <w:t>(C) Revenue from operations</w:t>
      </w:r>
    </w:p>
    <w:p w14:paraId="329D8D09" w14:textId="77777777" w:rsidR="007A586E" w:rsidRPr="003C5BB1" w:rsidRDefault="007A586E" w:rsidP="00473A87">
      <w:pPr>
        <w:spacing w:after="0" w:line="245" w:lineRule="auto"/>
        <w:rPr>
          <w:rFonts w:ascii="Cambria" w:hAnsi="Cambria"/>
        </w:rPr>
      </w:pPr>
      <w:r w:rsidRPr="003C5BB1">
        <w:rPr>
          <w:rFonts w:ascii="Cambria" w:hAnsi="Cambria"/>
        </w:rPr>
        <w:t>(D) Purchase of stock in Trade</w:t>
      </w:r>
    </w:p>
    <w:p w14:paraId="61386597" w14:textId="77777777" w:rsidR="007A586E" w:rsidRPr="003C5BB1" w:rsidRDefault="007A586E" w:rsidP="00473A87">
      <w:pPr>
        <w:spacing w:after="0" w:line="245" w:lineRule="auto"/>
        <w:rPr>
          <w:rFonts w:ascii="Cambria" w:hAnsi="Cambria"/>
        </w:rPr>
      </w:pPr>
      <w:r w:rsidRPr="003C5BB1">
        <w:rPr>
          <w:rFonts w:ascii="Cambria" w:hAnsi="Cambria"/>
        </w:rPr>
        <w:t>(E) Dividend Income</w:t>
      </w:r>
    </w:p>
    <w:p w14:paraId="4B9E2B18" w14:textId="78C4151F" w:rsidR="007A586E" w:rsidRPr="003C5BB1" w:rsidRDefault="007A586E" w:rsidP="00473A87">
      <w:pPr>
        <w:tabs>
          <w:tab w:val="left" w:pos="3510"/>
        </w:tabs>
        <w:spacing w:after="0" w:line="245" w:lineRule="auto"/>
        <w:rPr>
          <w:rFonts w:ascii="Cambria" w:hAnsi="Cambria"/>
        </w:rPr>
      </w:pPr>
      <w:r w:rsidRPr="003C5BB1">
        <w:rPr>
          <w:rFonts w:ascii="Cambria" w:hAnsi="Cambria"/>
        </w:rPr>
        <w:t xml:space="preserve">Choose the correct answer from the options given below: </w:t>
      </w:r>
    </w:p>
    <w:p w14:paraId="0DE81E60" w14:textId="77777777" w:rsidR="007A586E" w:rsidRPr="003C5BB1" w:rsidRDefault="007A586E" w:rsidP="00473A87">
      <w:pPr>
        <w:spacing w:after="0" w:line="245" w:lineRule="auto"/>
        <w:rPr>
          <w:rFonts w:ascii="Cambria" w:hAnsi="Cambria"/>
        </w:rPr>
      </w:pPr>
      <w:r w:rsidRPr="003C5BB1">
        <w:rPr>
          <w:rFonts w:ascii="Cambria" w:hAnsi="Cambria"/>
        </w:rPr>
        <w:t>(a) (C), (E), (D), (A), (B)</w:t>
      </w:r>
      <w:r w:rsidRPr="003C5BB1">
        <w:rPr>
          <w:rFonts w:ascii="Cambria" w:hAnsi="Cambria"/>
        </w:rPr>
        <w:tab/>
      </w:r>
    </w:p>
    <w:p w14:paraId="1CE1F682" w14:textId="77777777" w:rsidR="007A586E" w:rsidRPr="003C5BB1" w:rsidRDefault="007A586E" w:rsidP="00473A87">
      <w:pPr>
        <w:spacing w:after="0" w:line="245" w:lineRule="auto"/>
        <w:rPr>
          <w:rFonts w:ascii="Cambria" w:hAnsi="Cambria"/>
        </w:rPr>
      </w:pPr>
      <w:r w:rsidRPr="003C5BB1">
        <w:rPr>
          <w:rFonts w:ascii="Cambria" w:hAnsi="Cambria"/>
        </w:rPr>
        <w:t>(b) (C), (D), (E), (B), (A)</w:t>
      </w:r>
    </w:p>
    <w:p w14:paraId="23BAA475" w14:textId="77777777" w:rsidR="007A586E" w:rsidRPr="003C5BB1" w:rsidRDefault="007A586E" w:rsidP="00473A87">
      <w:pPr>
        <w:spacing w:after="0" w:line="245" w:lineRule="auto"/>
        <w:rPr>
          <w:rFonts w:ascii="Cambria" w:hAnsi="Cambria"/>
        </w:rPr>
      </w:pPr>
      <w:r w:rsidRPr="003C5BB1">
        <w:rPr>
          <w:rFonts w:ascii="Cambria" w:hAnsi="Cambria"/>
        </w:rPr>
        <w:t>(c) (C), (D), (E), (A), (B)</w:t>
      </w:r>
    </w:p>
    <w:p w14:paraId="4A43DE11" w14:textId="77777777" w:rsidR="007A586E" w:rsidRPr="003C5BB1" w:rsidRDefault="007A586E" w:rsidP="00473A87">
      <w:pPr>
        <w:spacing w:after="0" w:line="245" w:lineRule="auto"/>
        <w:rPr>
          <w:rFonts w:ascii="Cambria" w:hAnsi="Cambria"/>
        </w:rPr>
      </w:pPr>
      <w:r w:rsidRPr="003C5BB1">
        <w:rPr>
          <w:rFonts w:ascii="Cambria" w:hAnsi="Cambria"/>
        </w:rPr>
        <w:t>(d) (C), (A), (B), (D), (E)</w:t>
      </w:r>
    </w:p>
    <w:p w14:paraId="34783FD0" w14:textId="77777777" w:rsidR="00F746D1" w:rsidRPr="003C5BB1" w:rsidRDefault="00F746D1" w:rsidP="00285A60">
      <w:pPr>
        <w:spacing w:after="0" w:line="235" w:lineRule="auto"/>
        <w:ind w:left="547" w:hanging="547"/>
        <w:jc w:val="both"/>
        <w:rPr>
          <w:rFonts w:ascii="Cambria" w:hAnsi="Cambria"/>
        </w:rPr>
      </w:pPr>
    </w:p>
    <w:p w14:paraId="2CACD919" w14:textId="7AFF6FFD" w:rsidR="000F4429" w:rsidRPr="003C5BB1" w:rsidRDefault="000F4429" w:rsidP="00285A60">
      <w:pPr>
        <w:spacing w:after="0" w:line="235" w:lineRule="auto"/>
        <w:ind w:left="547" w:hanging="547"/>
        <w:jc w:val="both"/>
        <w:rPr>
          <w:rFonts w:ascii="Cambria" w:hAnsi="Cambria"/>
        </w:rPr>
      </w:pPr>
      <w:r w:rsidRPr="003C5BB1">
        <w:rPr>
          <w:rFonts w:ascii="Cambria" w:hAnsi="Cambria"/>
        </w:rPr>
        <w:t>Q</w:t>
      </w:r>
      <w:r w:rsidR="009B0DC2" w:rsidRPr="003C5BB1">
        <w:rPr>
          <w:rFonts w:ascii="Cambria" w:hAnsi="Cambria"/>
        </w:rPr>
        <w:t>4</w:t>
      </w:r>
      <w:r w:rsidRPr="003C5BB1">
        <w:rPr>
          <w:rFonts w:ascii="Cambria" w:hAnsi="Cambria"/>
        </w:rPr>
        <w:t>.</w:t>
      </w:r>
      <w:r w:rsidR="00A25AD2" w:rsidRPr="003C5BB1">
        <w:rPr>
          <w:rFonts w:ascii="Cambria" w:hAnsi="Cambria"/>
        </w:rPr>
        <w:t xml:space="preserve"> </w:t>
      </w:r>
      <w:r w:rsidRPr="003C5BB1">
        <w:rPr>
          <w:rFonts w:ascii="Cambria" w:hAnsi="Cambria"/>
        </w:rPr>
        <w:t xml:space="preserve">Securities Premium cannot be used: </w:t>
      </w:r>
    </w:p>
    <w:p w14:paraId="7E114C0D" w14:textId="5937F5FC" w:rsidR="000F4429" w:rsidRPr="003C5BB1" w:rsidRDefault="000F4429" w:rsidP="00A25AD2">
      <w:pPr>
        <w:spacing w:after="0" w:line="235" w:lineRule="auto"/>
        <w:jc w:val="both"/>
        <w:rPr>
          <w:rFonts w:ascii="Cambria" w:hAnsi="Cambria"/>
        </w:rPr>
      </w:pPr>
      <w:r w:rsidRPr="003C5BB1">
        <w:rPr>
          <w:rFonts w:ascii="Cambria" w:hAnsi="Cambria"/>
        </w:rPr>
        <w:t>(a)</w:t>
      </w:r>
      <w:r w:rsidR="00F17D0F" w:rsidRPr="003C5BB1">
        <w:rPr>
          <w:rFonts w:ascii="Cambria" w:hAnsi="Cambria"/>
        </w:rPr>
        <w:t xml:space="preserve"> </w:t>
      </w:r>
      <w:r w:rsidRPr="003C5BB1">
        <w:rPr>
          <w:rFonts w:ascii="Cambria" w:hAnsi="Cambria"/>
        </w:rPr>
        <w:t>to issue fully paid bonus shares</w:t>
      </w:r>
    </w:p>
    <w:p w14:paraId="789F82DC" w14:textId="27D3AB2E" w:rsidR="000F4429" w:rsidRPr="003C5BB1" w:rsidRDefault="000F4429" w:rsidP="00A25AD2">
      <w:pPr>
        <w:spacing w:after="0" w:line="235" w:lineRule="auto"/>
        <w:jc w:val="both"/>
        <w:rPr>
          <w:rFonts w:ascii="Cambria" w:hAnsi="Cambria"/>
        </w:rPr>
      </w:pPr>
      <w:r w:rsidRPr="003C5BB1">
        <w:rPr>
          <w:rFonts w:ascii="Cambria" w:hAnsi="Cambria"/>
        </w:rPr>
        <w:t>(b)</w:t>
      </w:r>
      <w:r w:rsidR="00F17D0F" w:rsidRPr="003C5BB1">
        <w:rPr>
          <w:rFonts w:ascii="Cambria" w:hAnsi="Cambria"/>
        </w:rPr>
        <w:t xml:space="preserve"> </w:t>
      </w:r>
      <w:r w:rsidRPr="003C5BB1">
        <w:rPr>
          <w:rFonts w:ascii="Cambria" w:hAnsi="Cambria"/>
        </w:rPr>
        <w:t>to write-off preliminary expenses of the company.</w:t>
      </w:r>
    </w:p>
    <w:p w14:paraId="1A6C20BE" w14:textId="7EA49F62" w:rsidR="000F4429" w:rsidRPr="003C5BB1" w:rsidRDefault="000F4429" w:rsidP="00A25AD2">
      <w:pPr>
        <w:spacing w:after="0" w:line="235" w:lineRule="auto"/>
        <w:jc w:val="both"/>
        <w:rPr>
          <w:rFonts w:ascii="Cambria" w:hAnsi="Cambria"/>
        </w:rPr>
      </w:pPr>
      <w:r w:rsidRPr="003C5BB1">
        <w:rPr>
          <w:rFonts w:ascii="Cambria" w:hAnsi="Cambria"/>
        </w:rPr>
        <w:t>(c)</w:t>
      </w:r>
      <w:r w:rsidR="00F17D0F" w:rsidRPr="003C5BB1">
        <w:rPr>
          <w:rFonts w:ascii="Cambria" w:hAnsi="Cambria"/>
        </w:rPr>
        <w:t xml:space="preserve"> </w:t>
      </w:r>
      <w:r w:rsidRPr="003C5BB1">
        <w:rPr>
          <w:rFonts w:ascii="Cambria" w:hAnsi="Cambria"/>
        </w:rPr>
        <w:t>to pay premium on the redemption of preference shares or debentures of the company.</w:t>
      </w:r>
    </w:p>
    <w:p w14:paraId="4130E560" w14:textId="293721D4" w:rsidR="000F4429" w:rsidRPr="003C5BB1" w:rsidRDefault="000F4429" w:rsidP="00A25AD2">
      <w:pPr>
        <w:spacing w:after="0" w:line="235" w:lineRule="auto"/>
        <w:jc w:val="both"/>
        <w:rPr>
          <w:rFonts w:ascii="Cambria" w:hAnsi="Cambria"/>
        </w:rPr>
      </w:pPr>
      <w:r w:rsidRPr="003C5BB1">
        <w:rPr>
          <w:rFonts w:ascii="Cambria" w:hAnsi="Cambria"/>
        </w:rPr>
        <w:t>(d)</w:t>
      </w:r>
      <w:r w:rsidR="00F17D0F" w:rsidRPr="003C5BB1">
        <w:rPr>
          <w:rFonts w:ascii="Cambria" w:hAnsi="Cambria"/>
        </w:rPr>
        <w:t xml:space="preserve"> </w:t>
      </w:r>
      <w:r w:rsidRPr="003C5BB1">
        <w:rPr>
          <w:rFonts w:ascii="Cambria" w:hAnsi="Cambria"/>
        </w:rPr>
        <w:t>to pay dividend to the shareholders of the company</w:t>
      </w:r>
    </w:p>
    <w:p w14:paraId="4D476F98" w14:textId="77777777" w:rsidR="00136646" w:rsidRPr="003C5BB1" w:rsidRDefault="00136646">
      <w:pPr>
        <w:rPr>
          <w:rFonts w:ascii="Cambria" w:hAnsi="Cambria"/>
        </w:rPr>
      </w:pPr>
    </w:p>
    <w:p w14:paraId="4890F9C1" w14:textId="47E3168C" w:rsidR="00136646" w:rsidRPr="003C5BB1" w:rsidRDefault="00136646" w:rsidP="00136646">
      <w:pPr>
        <w:spacing w:after="0" w:line="240" w:lineRule="auto"/>
        <w:ind w:left="547" w:hanging="547"/>
        <w:jc w:val="both"/>
        <w:rPr>
          <w:rFonts w:ascii="Cambria" w:hAnsi="Cambria"/>
        </w:rPr>
      </w:pPr>
      <w:r w:rsidRPr="003C5BB1">
        <w:rPr>
          <w:rFonts w:ascii="Cambria" w:hAnsi="Cambria"/>
        </w:rPr>
        <w:t>Q5.</w:t>
      </w:r>
      <w:r w:rsidRPr="003C5BB1">
        <w:rPr>
          <w:rFonts w:ascii="Cambria" w:hAnsi="Cambria"/>
        </w:rPr>
        <w:tab/>
        <w:t>Match List I with List II</w:t>
      </w:r>
    </w:p>
    <w:p w14:paraId="7CCA2B4A" w14:textId="77777777" w:rsidR="00136646" w:rsidRPr="003C5BB1" w:rsidRDefault="00136646" w:rsidP="00136646">
      <w:pPr>
        <w:spacing w:after="0" w:line="240" w:lineRule="auto"/>
        <w:ind w:left="547" w:hanging="547"/>
        <w:jc w:val="both"/>
        <w:rPr>
          <w:rFonts w:ascii="Cambria" w:hAnsi="Cambria"/>
        </w:rPr>
      </w:pPr>
    </w:p>
    <w:tbl>
      <w:tblPr>
        <w:tblStyle w:val="TableGrid"/>
        <w:tblW w:w="5040" w:type="dxa"/>
        <w:tblInd w:w="85" w:type="dxa"/>
        <w:tblLook w:val="04A0" w:firstRow="1" w:lastRow="0" w:firstColumn="1" w:lastColumn="0" w:noHBand="0" w:noVBand="1"/>
      </w:tblPr>
      <w:tblGrid>
        <w:gridCol w:w="426"/>
        <w:gridCol w:w="2154"/>
        <w:gridCol w:w="499"/>
        <w:gridCol w:w="1961"/>
      </w:tblGrid>
      <w:tr w:rsidR="00136646" w:rsidRPr="003C5BB1" w14:paraId="1A0067F0" w14:textId="77777777" w:rsidTr="000D28FB">
        <w:tc>
          <w:tcPr>
            <w:tcW w:w="2610" w:type="dxa"/>
            <w:gridSpan w:val="2"/>
          </w:tcPr>
          <w:p w14:paraId="72EBAF57" w14:textId="77777777" w:rsidR="00136646" w:rsidRPr="003C5BB1" w:rsidRDefault="00136646" w:rsidP="00AE5D7A">
            <w:pPr>
              <w:ind w:left="547" w:hanging="547"/>
              <w:jc w:val="center"/>
              <w:rPr>
                <w:rFonts w:ascii="Cambria" w:hAnsi="Cambria"/>
                <w:sz w:val="24"/>
                <w:szCs w:val="24"/>
              </w:rPr>
            </w:pPr>
            <w:r w:rsidRPr="003C5BB1">
              <w:rPr>
                <w:rFonts w:ascii="Cambria" w:hAnsi="Cambria"/>
                <w:sz w:val="24"/>
                <w:szCs w:val="24"/>
              </w:rPr>
              <w:t>LIST - I</w:t>
            </w:r>
          </w:p>
        </w:tc>
        <w:tc>
          <w:tcPr>
            <w:tcW w:w="2430" w:type="dxa"/>
            <w:gridSpan w:val="2"/>
          </w:tcPr>
          <w:p w14:paraId="56B28761" w14:textId="77777777" w:rsidR="00136646" w:rsidRPr="003C5BB1" w:rsidRDefault="00136646" w:rsidP="00AE5D7A">
            <w:pPr>
              <w:ind w:left="547" w:hanging="547"/>
              <w:jc w:val="center"/>
              <w:rPr>
                <w:rFonts w:ascii="Cambria" w:hAnsi="Cambria"/>
                <w:sz w:val="24"/>
                <w:szCs w:val="24"/>
              </w:rPr>
            </w:pPr>
            <w:r w:rsidRPr="003C5BB1">
              <w:rPr>
                <w:rFonts w:ascii="Cambria" w:hAnsi="Cambria"/>
                <w:sz w:val="24"/>
                <w:szCs w:val="24"/>
              </w:rPr>
              <w:t>LIST - II</w:t>
            </w:r>
          </w:p>
        </w:tc>
      </w:tr>
      <w:tr w:rsidR="00136646" w:rsidRPr="003C5BB1" w14:paraId="756F1F30" w14:textId="77777777" w:rsidTr="000D28FB">
        <w:tc>
          <w:tcPr>
            <w:tcW w:w="426" w:type="dxa"/>
          </w:tcPr>
          <w:p w14:paraId="1CA0118B"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A.</w:t>
            </w:r>
          </w:p>
        </w:tc>
        <w:tc>
          <w:tcPr>
            <w:tcW w:w="2184" w:type="dxa"/>
          </w:tcPr>
          <w:p w14:paraId="43CDD38B" w14:textId="77777777" w:rsidR="00136646" w:rsidRPr="003C5BB1" w:rsidRDefault="00136646" w:rsidP="00AE5D7A">
            <w:pPr>
              <w:ind w:left="10" w:hanging="10"/>
              <w:rPr>
                <w:rFonts w:ascii="Cambria" w:hAnsi="Cambria"/>
                <w:sz w:val="24"/>
                <w:szCs w:val="24"/>
              </w:rPr>
            </w:pPr>
            <w:r w:rsidRPr="003C5BB1">
              <w:rPr>
                <w:rFonts w:ascii="Cambria" w:hAnsi="Cambria"/>
                <w:sz w:val="24"/>
                <w:szCs w:val="24"/>
              </w:rPr>
              <w:t>Employee benefit expenses</w:t>
            </w:r>
          </w:p>
        </w:tc>
        <w:tc>
          <w:tcPr>
            <w:tcW w:w="452" w:type="dxa"/>
          </w:tcPr>
          <w:p w14:paraId="4A39515D"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I.</w:t>
            </w:r>
          </w:p>
        </w:tc>
        <w:tc>
          <w:tcPr>
            <w:tcW w:w="1978" w:type="dxa"/>
          </w:tcPr>
          <w:p w14:paraId="13F33CC5"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Investing activity</w:t>
            </w:r>
          </w:p>
        </w:tc>
      </w:tr>
      <w:tr w:rsidR="00136646" w:rsidRPr="003C5BB1" w14:paraId="0C073ABE" w14:textId="77777777" w:rsidTr="000D28FB">
        <w:tc>
          <w:tcPr>
            <w:tcW w:w="426" w:type="dxa"/>
          </w:tcPr>
          <w:p w14:paraId="430C7B89"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B.</w:t>
            </w:r>
          </w:p>
        </w:tc>
        <w:tc>
          <w:tcPr>
            <w:tcW w:w="2184" w:type="dxa"/>
          </w:tcPr>
          <w:p w14:paraId="50EBFD6D"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Dividend received</w:t>
            </w:r>
          </w:p>
        </w:tc>
        <w:tc>
          <w:tcPr>
            <w:tcW w:w="452" w:type="dxa"/>
          </w:tcPr>
          <w:p w14:paraId="08662374"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II.</w:t>
            </w:r>
          </w:p>
        </w:tc>
        <w:tc>
          <w:tcPr>
            <w:tcW w:w="1978" w:type="dxa"/>
          </w:tcPr>
          <w:p w14:paraId="516ADF59"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Operating activity</w:t>
            </w:r>
          </w:p>
        </w:tc>
      </w:tr>
      <w:tr w:rsidR="00136646" w:rsidRPr="003C5BB1" w14:paraId="4DDB0A4A" w14:textId="77777777" w:rsidTr="000D28FB">
        <w:tc>
          <w:tcPr>
            <w:tcW w:w="426" w:type="dxa"/>
          </w:tcPr>
          <w:p w14:paraId="0C654399"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lastRenderedPageBreak/>
              <w:t>C.</w:t>
            </w:r>
          </w:p>
        </w:tc>
        <w:tc>
          <w:tcPr>
            <w:tcW w:w="2184" w:type="dxa"/>
          </w:tcPr>
          <w:p w14:paraId="23DEFD61"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Loan raised</w:t>
            </w:r>
          </w:p>
        </w:tc>
        <w:tc>
          <w:tcPr>
            <w:tcW w:w="452" w:type="dxa"/>
          </w:tcPr>
          <w:p w14:paraId="3CAB3FF0"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III.</w:t>
            </w:r>
          </w:p>
        </w:tc>
        <w:tc>
          <w:tcPr>
            <w:tcW w:w="1978" w:type="dxa"/>
          </w:tcPr>
          <w:p w14:paraId="10C0C1E4"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Extraordinary item</w:t>
            </w:r>
          </w:p>
        </w:tc>
      </w:tr>
      <w:tr w:rsidR="00136646" w:rsidRPr="003C5BB1" w14:paraId="6E8C2980" w14:textId="77777777" w:rsidTr="000D28FB">
        <w:tc>
          <w:tcPr>
            <w:tcW w:w="426" w:type="dxa"/>
          </w:tcPr>
          <w:p w14:paraId="67269724"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D.</w:t>
            </w:r>
          </w:p>
        </w:tc>
        <w:tc>
          <w:tcPr>
            <w:tcW w:w="2184" w:type="dxa"/>
          </w:tcPr>
          <w:p w14:paraId="4E812D40" w14:textId="77777777" w:rsidR="00136646" w:rsidRPr="003C5BB1" w:rsidRDefault="00136646" w:rsidP="00AE5D7A">
            <w:pPr>
              <w:ind w:left="10" w:hanging="10"/>
              <w:rPr>
                <w:rFonts w:ascii="Cambria" w:hAnsi="Cambria"/>
                <w:sz w:val="24"/>
                <w:szCs w:val="24"/>
              </w:rPr>
            </w:pPr>
            <w:r w:rsidRPr="003C5BB1">
              <w:rPr>
                <w:rFonts w:ascii="Cambria" w:hAnsi="Cambria"/>
                <w:sz w:val="24"/>
                <w:szCs w:val="24"/>
              </w:rPr>
              <w:t>Proceeds from earthquake disaster management</w:t>
            </w:r>
          </w:p>
        </w:tc>
        <w:tc>
          <w:tcPr>
            <w:tcW w:w="452" w:type="dxa"/>
          </w:tcPr>
          <w:p w14:paraId="4CB1BCAD"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IV.</w:t>
            </w:r>
          </w:p>
        </w:tc>
        <w:tc>
          <w:tcPr>
            <w:tcW w:w="1978" w:type="dxa"/>
          </w:tcPr>
          <w:p w14:paraId="59A01D2D" w14:textId="77777777" w:rsidR="00136646" w:rsidRPr="003C5BB1" w:rsidRDefault="00136646" w:rsidP="00AE5D7A">
            <w:pPr>
              <w:ind w:left="547" w:hanging="547"/>
              <w:jc w:val="both"/>
              <w:rPr>
                <w:rFonts w:ascii="Cambria" w:hAnsi="Cambria"/>
                <w:sz w:val="24"/>
                <w:szCs w:val="24"/>
              </w:rPr>
            </w:pPr>
            <w:r w:rsidRPr="003C5BB1">
              <w:rPr>
                <w:rFonts w:ascii="Cambria" w:hAnsi="Cambria"/>
                <w:sz w:val="24"/>
                <w:szCs w:val="24"/>
              </w:rPr>
              <w:t>Financing activity</w:t>
            </w:r>
          </w:p>
        </w:tc>
      </w:tr>
    </w:tbl>
    <w:p w14:paraId="122111C2" w14:textId="520F5388" w:rsidR="00136646" w:rsidRPr="003C5BB1" w:rsidRDefault="00136646" w:rsidP="00136646">
      <w:pPr>
        <w:tabs>
          <w:tab w:val="left" w:pos="3510"/>
        </w:tabs>
        <w:spacing w:after="0" w:line="240" w:lineRule="auto"/>
        <w:ind w:left="547" w:hanging="547"/>
        <w:jc w:val="both"/>
        <w:rPr>
          <w:rFonts w:ascii="Cambria" w:hAnsi="Cambria"/>
        </w:rPr>
      </w:pPr>
      <w:r w:rsidRPr="003C5BB1">
        <w:rPr>
          <w:rFonts w:ascii="Cambria" w:hAnsi="Cambria"/>
        </w:rPr>
        <w:t>Choose the correct answer from the options give below:</w:t>
      </w:r>
    </w:p>
    <w:p w14:paraId="78F1DFB2" w14:textId="77777777" w:rsidR="00000A95" w:rsidRPr="003C5BB1" w:rsidRDefault="00136646" w:rsidP="00153667">
      <w:pPr>
        <w:spacing w:after="0" w:line="240" w:lineRule="auto"/>
        <w:jc w:val="both"/>
        <w:rPr>
          <w:rFonts w:ascii="Cambria" w:hAnsi="Cambria"/>
        </w:rPr>
      </w:pPr>
      <w:r w:rsidRPr="003C5BB1">
        <w:rPr>
          <w:rFonts w:ascii="Cambria" w:hAnsi="Cambria"/>
        </w:rPr>
        <w:t>(a) A-III, B-II, C-I, D-IV</w:t>
      </w:r>
      <w:r w:rsidRPr="003C5BB1">
        <w:rPr>
          <w:rFonts w:ascii="Cambria" w:hAnsi="Cambria"/>
        </w:rPr>
        <w:tab/>
      </w:r>
    </w:p>
    <w:p w14:paraId="19B2F581" w14:textId="398686E5" w:rsidR="00136646" w:rsidRPr="003C5BB1" w:rsidRDefault="00136646" w:rsidP="00153667">
      <w:pPr>
        <w:spacing w:after="0" w:line="240" w:lineRule="auto"/>
        <w:jc w:val="both"/>
        <w:rPr>
          <w:rFonts w:ascii="Cambria" w:hAnsi="Cambria"/>
        </w:rPr>
      </w:pPr>
      <w:r w:rsidRPr="003C5BB1">
        <w:rPr>
          <w:rFonts w:ascii="Cambria" w:hAnsi="Cambria"/>
        </w:rPr>
        <w:t>(b) A-IV, B-III, C-II, D-I</w:t>
      </w:r>
    </w:p>
    <w:p w14:paraId="1B3AAB7F" w14:textId="77777777" w:rsidR="004C1933" w:rsidRPr="003C5BB1" w:rsidRDefault="00136646" w:rsidP="00153667">
      <w:pPr>
        <w:spacing w:after="0" w:line="240" w:lineRule="auto"/>
        <w:jc w:val="both"/>
        <w:rPr>
          <w:rFonts w:ascii="Cambria" w:hAnsi="Cambria"/>
        </w:rPr>
      </w:pPr>
      <w:r w:rsidRPr="003C5BB1">
        <w:rPr>
          <w:rFonts w:ascii="Cambria" w:hAnsi="Cambria"/>
        </w:rPr>
        <w:t>(c) A-II, B-I, C-IV, D-III</w:t>
      </w:r>
      <w:r w:rsidRPr="003C5BB1">
        <w:rPr>
          <w:rFonts w:ascii="Cambria" w:hAnsi="Cambria"/>
        </w:rPr>
        <w:tab/>
      </w:r>
    </w:p>
    <w:p w14:paraId="018107EB" w14:textId="7113AF58" w:rsidR="00136646" w:rsidRPr="003C5BB1" w:rsidRDefault="00136646" w:rsidP="00153667">
      <w:pPr>
        <w:spacing w:after="0" w:line="240" w:lineRule="auto"/>
        <w:jc w:val="both"/>
        <w:rPr>
          <w:rFonts w:ascii="Cambria" w:hAnsi="Cambria"/>
        </w:rPr>
      </w:pPr>
      <w:r w:rsidRPr="003C5BB1">
        <w:rPr>
          <w:rFonts w:ascii="Cambria" w:hAnsi="Cambria"/>
        </w:rPr>
        <w:t>(d) A-I, B-IV, C-III, D-II</w:t>
      </w:r>
    </w:p>
    <w:p w14:paraId="7104EF43" w14:textId="77777777" w:rsidR="001F5948" w:rsidRPr="003C5BB1" w:rsidRDefault="001F5948" w:rsidP="007471A8">
      <w:pPr>
        <w:spacing w:after="0" w:line="240" w:lineRule="auto"/>
        <w:ind w:left="547" w:hanging="547"/>
        <w:jc w:val="both"/>
        <w:rPr>
          <w:rFonts w:ascii="Cambria" w:hAnsi="Cambria"/>
        </w:rPr>
      </w:pPr>
    </w:p>
    <w:p w14:paraId="105342AE" w14:textId="2DDE9681" w:rsidR="0026761A" w:rsidRPr="003C5BB1" w:rsidRDefault="0026761A" w:rsidP="00555163">
      <w:pPr>
        <w:spacing w:after="0" w:line="240" w:lineRule="auto"/>
        <w:jc w:val="both"/>
        <w:rPr>
          <w:rFonts w:ascii="Cambria" w:hAnsi="Cambria"/>
        </w:rPr>
      </w:pPr>
      <w:r w:rsidRPr="003C5BB1">
        <w:rPr>
          <w:rFonts w:ascii="Cambria" w:hAnsi="Cambria"/>
        </w:rPr>
        <w:t>Q</w:t>
      </w:r>
      <w:r w:rsidR="00EF03FC" w:rsidRPr="003C5BB1">
        <w:rPr>
          <w:rFonts w:ascii="Cambria" w:hAnsi="Cambria"/>
        </w:rPr>
        <w:t>6</w:t>
      </w:r>
      <w:r w:rsidRPr="003C5BB1">
        <w:rPr>
          <w:rFonts w:ascii="Cambria" w:hAnsi="Cambria"/>
        </w:rPr>
        <w:t>.</w:t>
      </w:r>
      <w:r w:rsidR="001F5948" w:rsidRPr="003C5BB1">
        <w:rPr>
          <w:rFonts w:ascii="Cambria" w:hAnsi="Cambria"/>
        </w:rPr>
        <w:t xml:space="preserve"> </w:t>
      </w:r>
      <w:r w:rsidRPr="003C5BB1">
        <w:rPr>
          <w:rFonts w:ascii="Cambria" w:hAnsi="Cambria"/>
        </w:rPr>
        <w:t xml:space="preserve">During financial year 2021-22, </w:t>
      </w:r>
      <w:r w:rsidR="00E80CE2" w:rsidRPr="003C5BB1">
        <w:rPr>
          <w:rFonts w:ascii="Cambria" w:hAnsi="Cambria"/>
        </w:rPr>
        <w:t>Surjeet</w:t>
      </w:r>
      <w:r w:rsidRPr="003C5BB1">
        <w:rPr>
          <w:rFonts w:ascii="Cambria" w:hAnsi="Cambria"/>
        </w:rPr>
        <w:t xml:space="preserve"> withdrew ₹30,000 quarterly in the beginning of every quarter. If interest to be charge is 8% p.a. Calculate the amount of interest on drawings: </w:t>
      </w:r>
    </w:p>
    <w:p w14:paraId="45ED569C" w14:textId="77777777" w:rsidR="00663424" w:rsidRPr="003C5BB1" w:rsidRDefault="0026761A" w:rsidP="001F5948">
      <w:pPr>
        <w:spacing w:after="0" w:line="240" w:lineRule="auto"/>
        <w:jc w:val="both"/>
        <w:rPr>
          <w:rFonts w:ascii="Cambria" w:hAnsi="Cambria"/>
        </w:rPr>
      </w:pPr>
      <w:r w:rsidRPr="003C5BB1">
        <w:rPr>
          <w:rFonts w:ascii="Cambria" w:hAnsi="Cambria"/>
        </w:rPr>
        <w:t>(a) ₹3,600</w:t>
      </w:r>
      <w:r w:rsidRPr="003C5BB1">
        <w:rPr>
          <w:rFonts w:ascii="Cambria" w:hAnsi="Cambria"/>
        </w:rPr>
        <w:tab/>
      </w:r>
    </w:p>
    <w:p w14:paraId="6531D225" w14:textId="0DB077B7" w:rsidR="0026761A" w:rsidRPr="003C5BB1" w:rsidRDefault="0026761A" w:rsidP="001F5948">
      <w:pPr>
        <w:spacing w:after="0" w:line="240" w:lineRule="auto"/>
        <w:jc w:val="both"/>
        <w:rPr>
          <w:rFonts w:ascii="Cambria" w:hAnsi="Cambria"/>
        </w:rPr>
      </w:pPr>
      <w:r w:rsidRPr="003C5BB1">
        <w:rPr>
          <w:rFonts w:ascii="Cambria" w:hAnsi="Cambria"/>
        </w:rPr>
        <w:t xml:space="preserve">(b) ₹4,800 </w:t>
      </w:r>
    </w:p>
    <w:p w14:paraId="77B6D1E6" w14:textId="77777777" w:rsidR="0063093F" w:rsidRPr="003C5BB1" w:rsidRDefault="0026761A" w:rsidP="001F5948">
      <w:pPr>
        <w:spacing w:after="0" w:line="240" w:lineRule="auto"/>
        <w:jc w:val="both"/>
        <w:rPr>
          <w:rFonts w:ascii="Cambria" w:hAnsi="Cambria"/>
        </w:rPr>
      </w:pPr>
      <w:r w:rsidRPr="003C5BB1">
        <w:rPr>
          <w:rFonts w:ascii="Cambria" w:hAnsi="Cambria"/>
        </w:rPr>
        <w:t>(c) ₹2,400</w:t>
      </w:r>
    </w:p>
    <w:p w14:paraId="4357B37A" w14:textId="4E85A279" w:rsidR="0026761A" w:rsidRPr="003C5BB1" w:rsidRDefault="0026761A" w:rsidP="001F5948">
      <w:pPr>
        <w:spacing w:after="0" w:line="240" w:lineRule="auto"/>
        <w:jc w:val="both"/>
        <w:rPr>
          <w:rFonts w:ascii="Cambria" w:hAnsi="Cambria"/>
        </w:rPr>
      </w:pPr>
      <w:r w:rsidRPr="003C5BB1">
        <w:rPr>
          <w:rFonts w:ascii="Cambria" w:hAnsi="Cambria"/>
        </w:rPr>
        <w:t>(d) ₹6,000</w:t>
      </w:r>
    </w:p>
    <w:p w14:paraId="53B8F907" w14:textId="77777777" w:rsidR="001953BE" w:rsidRPr="003C5BB1" w:rsidRDefault="001953BE">
      <w:pPr>
        <w:rPr>
          <w:rFonts w:ascii="Cambria" w:hAnsi="Cambria"/>
        </w:rPr>
      </w:pPr>
    </w:p>
    <w:p w14:paraId="7A3674A1" w14:textId="27466821" w:rsidR="001953BE" w:rsidRPr="003C5BB1" w:rsidRDefault="001953BE" w:rsidP="006200EB">
      <w:pPr>
        <w:tabs>
          <w:tab w:val="left" w:pos="3510"/>
        </w:tabs>
        <w:spacing w:after="0" w:line="240" w:lineRule="auto"/>
        <w:jc w:val="both"/>
        <w:rPr>
          <w:rFonts w:ascii="Cambria" w:hAnsi="Cambria"/>
          <w:kern w:val="0"/>
          <w14:ligatures w14:val="none"/>
        </w:rPr>
      </w:pPr>
      <w:r w:rsidRPr="003C5BB1">
        <w:rPr>
          <w:rFonts w:ascii="Cambria" w:hAnsi="Cambria"/>
        </w:rPr>
        <w:t>Q</w:t>
      </w:r>
      <w:r w:rsidR="00CE5455" w:rsidRPr="003C5BB1">
        <w:rPr>
          <w:rFonts w:ascii="Cambria" w:hAnsi="Cambria"/>
        </w:rPr>
        <w:t>7</w:t>
      </w:r>
      <w:r w:rsidRPr="003C5BB1">
        <w:rPr>
          <w:rFonts w:ascii="Cambria" w:hAnsi="Cambria"/>
        </w:rPr>
        <w:t>.</w:t>
      </w:r>
      <w:r w:rsidR="005E3667" w:rsidRPr="003C5BB1">
        <w:rPr>
          <w:rFonts w:ascii="Cambria" w:hAnsi="Cambria"/>
        </w:rPr>
        <w:t xml:space="preserve"> </w:t>
      </w:r>
      <w:r w:rsidRPr="003C5BB1">
        <w:rPr>
          <w:rFonts w:ascii="Cambria" w:hAnsi="Cambria"/>
        </w:rPr>
        <w:t>A, B, C were partners in a partnership firm their profit-sharing ratio was 5:3:2. B retires and the new profit-sharing ratio between A and C was 3:2. Calculate gaining ratio.</w:t>
      </w:r>
    </w:p>
    <w:p w14:paraId="79092132" w14:textId="77777777" w:rsidR="002E2DE6" w:rsidRPr="003C5BB1" w:rsidRDefault="001953BE" w:rsidP="00816F35">
      <w:pPr>
        <w:spacing w:after="0" w:line="240" w:lineRule="auto"/>
        <w:jc w:val="both"/>
        <w:rPr>
          <w:rFonts w:ascii="Cambria" w:hAnsi="Cambria"/>
        </w:rPr>
      </w:pPr>
      <w:r w:rsidRPr="003C5BB1">
        <w:rPr>
          <w:rFonts w:ascii="Cambria" w:hAnsi="Cambria"/>
        </w:rPr>
        <w:t>(a) 3:8</w:t>
      </w:r>
    </w:p>
    <w:p w14:paraId="162544B2" w14:textId="13D54D74" w:rsidR="001953BE" w:rsidRPr="003C5BB1" w:rsidRDefault="001953BE" w:rsidP="00816F35">
      <w:pPr>
        <w:spacing w:after="0" w:line="240" w:lineRule="auto"/>
        <w:jc w:val="both"/>
        <w:rPr>
          <w:rFonts w:ascii="Cambria" w:hAnsi="Cambria"/>
        </w:rPr>
      </w:pPr>
      <w:r w:rsidRPr="003C5BB1">
        <w:rPr>
          <w:rFonts w:ascii="Cambria" w:hAnsi="Cambria"/>
        </w:rPr>
        <w:t>(b) 1:3</w:t>
      </w:r>
    </w:p>
    <w:p w14:paraId="405E7B7F" w14:textId="77777777" w:rsidR="00BA36CD" w:rsidRPr="003C5BB1" w:rsidRDefault="001953BE" w:rsidP="00816F35">
      <w:pPr>
        <w:spacing w:after="0" w:line="240" w:lineRule="auto"/>
        <w:jc w:val="both"/>
        <w:rPr>
          <w:rFonts w:ascii="Cambria" w:hAnsi="Cambria"/>
        </w:rPr>
      </w:pPr>
      <w:r w:rsidRPr="003C5BB1">
        <w:rPr>
          <w:rFonts w:ascii="Cambria" w:hAnsi="Cambria"/>
        </w:rPr>
        <w:t>(c) 7:2</w:t>
      </w:r>
    </w:p>
    <w:p w14:paraId="2EC90C0D" w14:textId="48E62677" w:rsidR="001953BE" w:rsidRPr="003C5BB1" w:rsidRDefault="001953BE" w:rsidP="00816F35">
      <w:pPr>
        <w:spacing w:after="0" w:line="240" w:lineRule="auto"/>
        <w:jc w:val="both"/>
        <w:rPr>
          <w:rFonts w:ascii="Cambria" w:hAnsi="Cambria"/>
        </w:rPr>
      </w:pPr>
      <w:r w:rsidRPr="003C5BB1">
        <w:rPr>
          <w:rFonts w:ascii="Cambria" w:hAnsi="Cambria"/>
        </w:rPr>
        <w:t>(d) 1:2</w:t>
      </w:r>
    </w:p>
    <w:p w14:paraId="0C67AE70" w14:textId="77777777" w:rsidR="006A07E2" w:rsidRPr="003C5BB1" w:rsidRDefault="006A07E2">
      <w:pPr>
        <w:rPr>
          <w:rFonts w:ascii="Cambria" w:hAnsi="Cambria"/>
        </w:rPr>
      </w:pPr>
    </w:p>
    <w:p w14:paraId="009BC161" w14:textId="62D7AAF0" w:rsidR="006A07E2" w:rsidRPr="003C5BB1" w:rsidRDefault="006A07E2" w:rsidP="006A07E2">
      <w:pPr>
        <w:spacing w:after="0" w:line="240" w:lineRule="auto"/>
        <w:ind w:left="547" w:hanging="547"/>
        <w:jc w:val="both"/>
        <w:rPr>
          <w:rFonts w:ascii="Cambria" w:hAnsi="Cambria"/>
        </w:rPr>
      </w:pPr>
      <w:r w:rsidRPr="003C5BB1">
        <w:rPr>
          <w:rFonts w:ascii="Cambria" w:hAnsi="Cambria"/>
        </w:rPr>
        <w:t>Q</w:t>
      </w:r>
      <w:r w:rsidR="004436FC" w:rsidRPr="003C5BB1">
        <w:rPr>
          <w:rFonts w:ascii="Cambria" w:hAnsi="Cambria"/>
        </w:rPr>
        <w:t>8</w:t>
      </w:r>
      <w:r w:rsidRPr="003C5BB1">
        <w:rPr>
          <w:rFonts w:ascii="Cambria" w:hAnsi="Cambria"/>
        </w:rPr>
        <w:t>.</w:t>
      </w:r>
      <w:r w:rsidR="00560B08" w:rsidRPr="003C5BB1">
        <w:rPr>
          <w:rFonts w:ascii="Cambria" w:hAnsi="Cambria"/>
        </w:rPr>
        <w:t xml:space="preserve"> </w:t>
      </w:r>
      <w:r w:rsidRPr="003C5BB1">
        <w:rPr>
          <w:rFonts w:ascii="Cambria" w:hAnsi="Cambria"/>
        </w:rPr>
        <w:t>Match List - I with List – II.</w:t>
      </w:r>
    </w:p>
    <w:p w14:paraId="72564CAC" w14:textId="77777777" w:rsidR="006A07E2" w:rsidRPr="003C5BB1" w:rsidRDefault="006A07E2" w:rsidP="006A07E2">
      <w:pPr>
        <w:spacing w:after="0" w:line="240" w:lineRule="auto"/>
        <w:ind w:left="547" w:hanging="547"/>
        <w:jc w:val="both"/>
        <w:rPr>
          <w:rFonts w:ascii="Cambria" w:hAnsi="Cambria"/>
        </w:rPr>
      </w:pPr>
    </w:p>
    <w:tbl>
      <w:tblPr>
        <w:tblStyle w:val="TableGrid"/>
        <w:tblW w:w="4950" w:type="dxa"/>
        <w:tblInd w:w="-5" w:type="dxa"/>
        <w:tblLook w:val="04A0" w:firstRow="1" w:lastRow="0" w:firstColumn="1" w:lastColumn="0" w:noHBand="0" w:noVBand="1"/>
      </w:tblPr>
      <w:tblGrid>
        <w:gridCol w:w="559"/>
        <w:gridCol w:w="1701"/>
        <w:gridCol w:w="633"/>
        <w:gridCol w:w="2057"/>
      </w:tblGrid>
      <w:tr w:rsidR="006A07E2" w:rsidRPr="003C5BB1" w14:paraId="51A51D0D" w14:textId="77777777" w:rsidTr="00D45033">
        <w:trPr>
          <w:trHeight w:val="230"/>
        </w:trPr>
        <w:tc>
          <w:tcPr>
            <w:tcW w:w="2047" w:type="dxa"/>
            <w:gridSpan w:val="2"/>
          </w:tcPr>
          <w:p w14:paraId="73C869A7" w14:textId="77777777" w:rsidR="006A07E2" w:rsidRPr="003C5BB1" w:rsidRDefault="006A07E2" w:rsidP="00AE5D7A">
            <w:pPr>
              <w:ind w:left="547" w:hanging="547"/>
              <w:jc w:val="center"/>
              <w:rPr>
                <w:rFonts w:ascii="Cambria" w:hAnsi="Cambria"/>
                <w:sz w:val="24"/>
                <w:szCs w:val="24"/>
              </w:rPr>
            </w:pPr>
            <w:r w:rsidRPr="003C5BB1">
              <w:rPr>
                <w:rFonts w:ascii="Cambria" w:hAnsi="Cambria"/>
                <w:sz w:val="24"/>
                <w:szCs w:val="24"/>
              </w:rPr>
              <w:t>LIST - I</w:t>
            </w:r>
          </w:p>
        </w:tc>
        <w:tc>
          <w:tcPr>
            <w:tcW w:w="2903" w:type="dxa"/>
            <w:gridSpan w:val="2"/>
          </w:tcPr>
          <w:p w14:paraId="6A8A2B1E" w14:textId="77777777" w:rsidR="006A07E2" w:rsidRPr="003C5BB1" w:rsidRDefault="006A07E2" w:rsidP="00AE5D7A">
            <w:pPr>
              <w:ind w:left="547" w:hanging="547"/>
              <w:jc w:val="center"/>
              <w:rPr>
                <w:rFonts w:ascii="Cambria" w:hAnsi="Cambria"/>
                <w:sz w:val="24"/>
                <w:szCs w:val="24"/>
              </w:rPr>
            </w:pPr>
            <w:r w:rsidRPr="003C5BB1">
              <w:rPr>
                <w:rFonts w:ascii="Cambria" w:hAnsi="Cambria"/>
                <w:sz w:val="24"/>
                <w:szCs w:val="24"/>
              </w:rPr>
              <w:t>LIST - II</w:t>
            </w:r>
          </w:p>
        </w:tc>
      </w:tr>
      <w:tr w:rsidR="006A07E2" w:rsidRPr="003C5BB1" w14:paraId="4F684262" w14:textId="77777777" w:rsidTr="00D45033">
        <w:trPr>
          <w:trHeight w:val="470"/>
        </w:trPr>
        <w:tc>
          <w:tcPr>
            <w:tcW w:w="502" w:type="dxa"/>
          </w:tcPr>
          <w:p w14:paraId="46585EED"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(A)</w:t>
            </w:r>
          </w:p>
        </w:tc>
        <w:tc>
          <w:tcPr>
            <w:tcW w:w="1545" w:type="dxa"/>
          </w:tcPr>
          <w:p w14:paraId="473E96D2"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No. of years purchase</w:t>
            </w:r>
          </w:p>
        </w:tc>
        <w:tc>
          <w:tcPr>
            <w:tcW w:w="564" w:type="dxa"/>
          </w:tcPr>
          <w:p w14:paraId="472CBF45"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(I)</w:t>
            </w:r>
          </w:p>
        </w:tc>
        <w:tc>
          <w:tcPr>
            <w:tcW w:w="2339" w:type="dxa"/>
          </w:tcPr>
          <w:p w14:paraId="1AB290C3" w14:textId="77777777" w:rsidR="006A07E2" w:rsidRPr="003C5BB1" w:rsidRDefault="006A07E2" w:rsidP="00AE5D7A">
            <w:pPr>
              <w:jc w:val="both"/>
              <w:rPr>
                <w:rFonts w:ascii="Cambria" w:hAnsi="Cambria"/>
                <w:sz w:val="24"/>
                <w:szCs w:val="24"/>
              </w:rPr>
            </w:pPr>
            <w:r w:rsidRPr="003C5BB1">
              <w:rPr>
                <w:rFonts w:ascii="Cambria" w:hAnsi="Cambria"/>
                <w:sz w:val="24"/>
                <w:szCs w:val="24"/>
              </w:rPr>
              <w:t>Excess of average profit over normal profit</w:t>
            </w:r>
          </w:p>
        </w:tc>
      </w:tr>
      <w:tr w:rsidR="006A07E2" w:rsidRPr="003C5BB1" w14:paraId="421D4732" w14:textId="77777777" w:rsidTr="00D45033">
        <w:trPr>
          <w:trHeight w:val="240"/>
        </w:trPr>
        <w:tc>
          <w:tcPr>
            <w:tcW w:w="502" w:type="dxa"/>
          </w:tcPr>
          <w:p w14:paraId="6DC7969F"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(B)</w:t>
            </w:r>
          </w:p>
        </w:tc>
        <w:tc>
          <w:tcPr>
            <w:tcW w:w="1545" w:type="dxa"/>
          </w:tcPr>
          <w:p w14:paraId="1CEA369E"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Super profit</w:t>
            </w:r>
          </w:p>
        </w:tc>
        <w:tc>
          <w:tcPr>
            <w:tcW w:w="564" w:type="dxa"/>
          </w:tcPr>
          <w:p w14:paraId="603E11C1"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(II)</w:t>
            </w:r>
          </w:p>
        </w:tc>
        <w:tc>
          <w:tcPr>
            <w:tcW w:w="2339" w:type="dxa"/>
          </w:tcPr>
          <w:p w14:paraId="483C0875" w14:textId="77777777" w:rsidR="006A07E2" w:rsidRPr="003C5BB1" w:rsidRDefault="006A07E2" w:rsidP="00AE5D7A">
            <w:pPr>
              <w:jc w:val="both"/>
              <w:rPr>
                <w:rFonts w:ascii="Cambria" w:hAnsi="Cambria"/>
                <w:sz w:val="24"/>
                <w:szCs w:val="24"/>
              </w:rPr>
            </w:pPr>
            <w:r w:rsidRPr="003C5BB1">
              <w:rPr>
                <w:rFonts w:ascii="Cambria" w:hAnsi="Cambria"/>
                <w:sz w:val="24"/>
                <w:szCs w:val="24"/>
              </w:rPr>
              <w:t>Expected profit in the industry</w:t>
            </w:r>
          </w:p>
        </w:tc>
      </w:tr>
      <w:tr w:rsidR="006A07E2" w:rsidRPr="003C5BB1" w14:paraId="0264B82B" w14:textId="77777777" w:rsidTr="00D45033">
        <w:trPr>
          <w:trHeight w:val="470"/>
        </w:trPr>
        <w:tc>
          <w:tcPr>
            <w:tcW w:w="502" w:type="dxa"/>
          </w:tcPr>
          <w:p w14:paraId="78412912"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(C)</w:t>
            </w:r>
          </w:p>
        </w:tc>
        <w:tc>
          <w:tcPr>
            <w:tcW w:w="1545" w:type="dxa"/>
          </w:tcPr>
          <w:p w14:paraId="76D1848F"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Normal profit</w:t>
            </w:r>
          </w:p>
        </w:tc>
        <w:tc>
          <w:tcPr>
            <w:tcW w:w="564" w:type="dxa"/>
          </w:tcPr>
          <w:p w14:paraId="5ED746E0"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(III)</w:t>
            </w:r>
          </w:p>
        </w:tc>
        <w:tc>
          <w:tcPr>
            <w:tcW w:w="2339" w:type="dxa"/>
          </w:tcPr>
          <w:p w14:paraId="03C6F2FE" w14:textId="77777777" w:rsidR="006A07E2" w:rsidRPr="003C5BB1" w:rsidRDefault="006A07E2" w:rsidP="00AE5D7A">
            <w:pPr>
              <w:ind w:left="70" w:hanging="70"/>
              <w:jc w:val="both"/>
              <w:rPr>
                <w:rFonts w:ascii="Cambria" w:hAnsi="Cambria"/>
                <w:sz w:val="24"/>
                <w:szCs w:val="24"/>
              </w:rPr>
            </w:pPr>
            <w:r w:rsidRPr="003C5BB1">
              <w:rPr>
                <w:rFonts w:ascii="Cambria" w:hAnsi="Cambria"/>
                <w:sz w:val="24"/>
                <w:szCs w:val="24"/>
              </w:rPr>
              <w:t>Total profit divided by number of years</w:t>
            </w:r>
          </w:p>
        </w:tc>
      </w:tr>
      <w:tr w:rsidR="006A07E2" w:rsidRPr="003C5BB1" w14:paraId="58E78A13" w14:textId="77777777" w:rsidTr="00D45033">
        <w:trPr>
          <w:trHeight w:val="470"/>
        </w:trPr>
        <w:tc>
          <w:tcPr>
            <w:tcW w:w="502" w:type="dxa"/>
          </w:tcPr>
          <w:p w14:paraId="6CF9FE71"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(D)</w:t>
            </w:r>
          </w:p>
        </w:tc>
        <w:tc>
          <w:tcPr>
            <w:tcW w:w="1545" w:type="dxa"/>
          </w:tcPr>
          <w:p w14:paraId="4DA3376E"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Average profit</w:t>
            </w:r>
          </w:p>
        </w:tc>
        <w:tc>
          <w:tcPr>
            <w:tcW w:w="564" w:type="dxa"/>
          </w:tcPr>
          <w:p w14:paraId="0992439E" w14:textId="77777777" w:rsidR="006A07E2" w:rsidRPr="003C5BB1" w:rsidRDefault="006A07E2" w:rsidP="00AE5D7A">
            <w:pPr>
              <w:ind w:left="547" w:hanging="547"/>
              <w:jc w:val="both"/>
              <w:rPr>
                <w:rFonts w:ascii="Cambria" w:hAnsi="Cambria"/>
                <w:sz w:val="24"/>
                <w:szCs w:val="24"/>
              </w:rPr>
            </w:pPr>
            <w:r w:rsidRPr="003C5BB1">
              <w:rPr>
                <w:rFonts w:ascii="Cambria" w:hAnsi="Cambria"/>
                <w:sz w:val="24"/>
                <w:szCs w:val="24"/>
              </w:rPr>
              <w:t>(IV)</w:t>
            </w:r>
          </w:p>
        </w:tc>
        <w:tc>
          <w:tcPr>
            <w:tcW w:w="2339" w:type="dxa"/>
          </w:tcPr>
          <w:p w14:paraId="4B38B0E8" w14:textId="77777777" w:rsidR="006A07E2" w:rsidRPr="003C5BB1" w:rsidRDefault="006A07E2" w:rsidP="00AE5D7A">
            <w:pPr>
              <w:jc w:val="both"/>
              <w:rPr>
                <w:rFonts w:ascii="Cambria" w:hAnsi="Cambria"/>
                <w:sz w:val="24"/>
                <w:szCs w:val="24"/>
              </w:rPr>
            </w:pPr>
            <w:r w:rsidRPr="003C5BB1">
              <w:rPr>
                <w:rFonts w:ascii="Cambria" w:hAnsi="Cambria"/>
                <w:sz w:val="24"/>
                <w:szCs w:val="24"/>
              </w:rPr>
              <w:t>No. of years the firm continues to earn same profit</w:t>
            </w:r>
          </w:p>
        </w:tc>
      </w:tr>
    </w:tbl>
    <w:p w14:paraId="45A8D3EB" w14:textId="77777777" w:rsidR="006A07E2" w:rsidRPr="003C5BB1" w:rsidRDefault="006A07E2" w:rsidP="006A07E2">
      <w:pPr>
        <w:tabs>
          <w:tab w:val="left" w:pos="3510"/>
        </w:tabs>
        <w:spacing w:after="0" w:line="240" w:lineRule="auto"/>
        <w:ind w:left="547"/>
        <w:jc w:val="both"/>
        <w:rPr>
          <w:rFonts w:ascii="Cambria" w:hAnsi="Cambria" w:cs="Mangal"/>
          <w:lang w:bidi="hi-IN"/>
        </w:rPr>
      </w:pPr>
    </w:p>
    <w:p w14:paraId="78D6B01D" w14:textId="7AF9CD40" w:rsidR="006A07E2" w:rsidRPr="003C5BB1" w:rsidRDefault="006A07E2" w:rsidP="00CB5BFD">
      <w:pPr>
        <w:tabs>
          <w:tab w:val="left" w:pos="3510"/>
        </w:tabs>
        <w:spacing w:after="0" w:line="240" w:lineRule="auto"/>
        <w:jc w:val="both"/>
        <w:rPr>
          <w:rFonts w:ascii="Cambria" w:hAnsi="Cambria"/>
        </w:rPr>
      </w:pPr>
      <w:r w:rsidRPr="003C5BB1">
        <w:rPr>
          <w:rFonts w:ascii="Cambria" w:hAnsi="Cambria"/>
        </w:rPr>
        <w:t xml:space="preserve">Choose the correct answer from the options given below: </w:t>
      </w:r>
    </w:p>
    <w:p w14:paraId="5F2F4F41" w14:textId="77777777" w:rsidR="006A07E2" w:rsidRPr="003C5BB1" w:rsidRDefault="006A07E2" w:rsidP="00CB5BFD">
      <w:pPr>
        <w:spacing w:after="0" w:line="240" w:lineRule="auto"/>
        <w:jc w:val="both"/>
        <w:rPr>
          <w:rFonts w:ascii="Cambria" w:hAnsi="Cambria"/>
        </w:rPr>
      </w:pPr>
      <w:r w:rsidRPr="003C5BB1">
        <w:rPr>
          <w:rFonts w:ascii="Cambria" w:hAnsi="Cambria"/>
        </w:rPr>
        <w:t>(a) (A)-(IV), (B)-(I), (C)-(II), (D)-(III)</w:t>
      </w:r>
    </w:p>
    <w:p w14:paraId="3500613B" w14:textId="77777777" w:rsidR="006A07E2" w:rsidRPr="003C5BB1" w:rsidRDefault="006A07E2" w:rsidP="00CB5BFD">
      <w:pPr>
        <w:spacing w:after="0" w:line="240" w:lineRule="auto"/>
        <w:jc w:val="both"/>
        <w:rPr>
          <w:rFonts w:ascii="Cambria" w:hAnsi="Cambria"/>
        </w:rPr>
      </w:pPr>
      <w:r w:rsidRPr="003C5BB1">
        <w:rPr>
          <w:rFonts w:ascii="Cambria" w:hAnsi="Cambria"/>
        </w:rPr>
        <w:t>(b) (A)-(II), (B)-(I), (C)-(IV), (D)-(III)</w:t>
      </w:r>
    </w:p>
    <w:p w14:paraId="6A9EEE7F" w14:textId="77777777" w:rsidR="006A07E2" w:rsidRPr="003C5BB1" w:rsidRDefault="006A07E2" w:rsidP="00CB5BFD">
      <w:pPr>
        <w:spacing w:after="0" w:line="240" w:lineRule="auto"/>
        <w:jc w:val="both"/>
        <w:rPr>
          <w:rFonts w:ascii="Cambria" w:hAnsi="Cambria"/>
        </w:rPr>
      </w:pPr>
      <w:r w:rsidRPr="003C5BB1">
        <w:rPr>
          <w:rFonts w:ascii="Cambria" w:hAnsi="Cambria"/>
        </w:rPr>
        <w:lastRenderedPageBreak/>
        <w:t>(c) (A)-(I), (B)-(IV), (C)-(II), (D)-(III)</w:t>
      </w:r>
    </w:p>
    <w:p w14:paraId="6E3064B6" w14:textId="77777777" w:rsidR="006A07E2" w:rsidRPr="003C5BB1" w:rsidRDefault="006A07E2" w:rsidP="00CB5BFD">
      <w:pPr>
        <w:spacing w:after="0" w:line="240" w:lineRule="auto"/>
        <w:jc w:val="both"/>
        <w:rPr>
          <w:rFonts w:ascii="Cambria" w:hAnsi="Cambria"/>
        </w:rPr>
      </w:pPr>
      <w:r w:rsidRPr="003C5BB1">
        <w:rPr>
          <w:rFonts w:ascii="Cambria" w:hAnsi="Cambria"/>
        </w:rPr>
        <w:t>(d) (A)-(III), (B)-(IV), (C)-(II), (D)-(I)</w:t>
      </w:r>
    </w:p>
    <w:p w14:paraId="32492664" w14:textId="77777777" w:rsidR="00FF62BF" w:rsidRPr="003C5BB1" w:rsidRDefault="00FF62BF">
      <w:pPr>
        <w:rPr>
          <w:rFonts w:ascii="Cambria" w:hAnsi="Cambria"/>
        </w:rPr>
      </w:pPr>
    </w:p>
    <w:p w14:paraId="3B529748" w14:textId="6233E9FB" w:rsidR="00FF62BF" w:rsidRPr="003C5BB1" w:rsidRDefault="00FF62BF" w:rsidP="00FF62BF">
      <w:pPr>
        <w:tabs>
          <w:tab w:val="left" w:pos="2880"/>
        </w:tabs>
        <w:spacing w:after="0" w:line="240" w:lineRule="auto"/>
        <w:ind w:left="547" w:right="-250" w:hanging="547"/>
        <w:rPr>
          <w:rFonts w:ascii="Cambria" w:hAnsi="Cambria"/>
        </w:rPr>
      </w:pPr>
      <w:r w:rsidRPr="003C5BB1">
        <w:rPr>
          <w:rFonts w:ascii="Cambria" w:hAnsi="Cambria"/>
        </w:rPr>
        <w:t>Q</w:t>
      </w:r>
      <w:r w:rsidR="003304C6" w:rsidRPr="003C5BB1">
        <w:rPr>
          <w:rFonts w:ascii="Cambria" w:hAnsi="Cambria"/>
        </w:rPr>
        <w:t>9</w:t>
      </w:r>
      <w:r w:rsidRPr="003C5BB1">
        <w:rPr>
          <w:rFonts w:ascii="Cambria" w:hAnsi="Cambria"/>
        </w:rPr>
        <w:t>.</w:t>
      </w:r>
      <w:r w:rsidR="00556183" w:rsidRPr="003C5BB1">
        <w:rPr>
          <w:rFonts w:ascii="Cambria" w:hAnsi="Cambria"/>
        </w:rPr>
        <w:t xml:space="preserve"> </w:t>
      </w:r>
      <w:r w:rsidRPr="003C5BB1">
        <w:rPr>
          <w:rFonts w:ascii="Cambria" w:hAnsi="Cambria"/>
        </w:rPr>
        <w:t xml:space="preserve">Identify the other name by which Liquid ratio is known: </w:t>
      </w:r>
    </w:p>
    <w:p w14:paraId="6A826D89" w14:textId="77777777" w:rsidR="00FF62BF" w:rsidRPr="003C5BB1" w:rsidRDefault="00FF62BF" w:rsidP="00556183">
      <w:pPr>
        <w:spacing w:after="0" w:line="240" w:lineRule="auto"/>
        <w:jc w:val="both"/>
        <w:rPr>
          <w:rFonts w:ascii="Cambria" w:hAnsi="Cambria"/>
        </w:rPr>
      </w:pPr>
      <w:r w:rsidRPr="003C5BB1">
        <w:rPr>
          <w:rFonts w:ascii="Cambria" w:hAnsi="Cambria"/>
        </w:rPr>
        <w:t>(a) Current Ratio</w:t>
      </w:r>
    </w:p>
    <w:p w14:paraId="28B10C71" w14:textId="77777777" w:rsidR="00FF62BF" w:rsidRPr="003C5BB1" w:rsidRDefault="00FF62BF" w:rsidP="00556183">
      <w:pPr>
        <w:spacing w:after="0" w:line="240" w:lineRule="auto"/>
        <w:jc w:val="both"/>
        <w:rPr>
          <w:rFonts w:ascii="Cambria" w:hAnsi="Cambria"/>
        </w:rPr>
      </w:pPr>
      <w:r w:rsidRPr="003C5BB1">
        <w:rPr>
          <w:rFonts w:ascii="Cambria" w:hAnsi="Cambria"/>
        </w:rPr>
        <w:t>(b) Activity Ratio</w:t>
      </w:r>
    </w:p>
    <w:p w14:paraId="2B372591" w14:textId="77777777" w:rsidR="00FF62BF" w:rsidRPr="003C5BB1" w:rsidRDefault="00FF62BF" w:rsidP="00556183">
      <w:pPr>
        <w:spacing w:after="0" w:line="240" w:lineRule="auto"/>
        <w:jc w:val="both"/>
        <w:rPr>
          <w:rFonts w:ascii="Cambria" w:hAnsi="Cambria"/>
        </w:rPr>
      </w:pPr>
      <w:r w:rsidRPr="003C5BB1">
        <w:rPr>
          <w:rFonts w:ascii="Cambria" w:hAnsi="Cambria"/>
        </w:rPr>
        <w:t>(c) Quick Ratio / Acid Test Ratio</w:t>
      </w:r>
    </w:p>
    <w:p w14:paraId="7DA8EF55" w14:textId="77777777" w:rsidR="00FF62BF" w:rsidRPr="003C5BB1" w:rsidRDefault="00FF62BF" w:rsidP="00556183">
      <w:pPr>
        <w:spacing w:after="0" w:line="240" w:lineRule="auto"/>
        <w:jc w:val="both"/>
        <w:rPr>
          <w:rFonts w:ascii="Cambria" w:hAnsi="Cambria"/>
        </w:rPr>
      </w:pPr>
      <w:r w:rsidRPr="003C5BB1">
        <w:rPr>
          <w:rFonts w:ascii="Cambria" w:hAnsi="Cambria"/>
        </w:rPr>
        <w:t>(d) Solvency Ratio</w:t>
      </w:r>
    </w:p>
    <w:p w14:paraId="01DA0E07" w14:textId="77777777" w:rsidR="00F90B2C" w:rsidRPr="003C5BB1" w:rsidRDefault="00F90B2C">
      <w:pPr>
        <w:rPr>
          <w:rFonts w:ascii="Cambria" w:hAnsi="Cambria"/>
        </w:rPr>
      </w:pPr>
    </w:p>
    <w:p w14:paraId="2558D13A" w14:textId="00DD88CC" w:rsidR="00F90B2C" w:rsidRPr="003C5BB1" w:rsidRDefault="00F90B2C" w:rsidP="00BF0D6E">
      <w:pPr>
        <w:tabs>
          <w:tab w:val="left" w:pos="3420"/>
        </w:tabs>
        <w:spacing w:after="0" w:line="240" w:lineRule="auto"/>
        <w:jc w:val="both"/>
        <w:rPr>
          <w:rFonts w:ascii="Cambria" w:hAnsi="Cambria"/>
        </w:rPr>
      </w:pPr>
      <w:r w:rsidRPr="003C5BB1">
        <w:rPr>
          <w:rFonts w:ascii="Cambria" w:hAnsi="Cambria"/>
        </w:rPr>
        <w:t>Q</w:t>
      </w:r>
      <w:r w:rsidR="002600AE" w:rsidRPr="003C5BB1">
        <w:rPr>
          <w:rFonts w:ascii="Cambria" w:hAnsi="Cambria"/>
        </w:rPr>
        <w:t>10</w:t>
      </w:r>
      <w:r w:rsidRPr="003C5BB1">
        <w:rPr>
          <w:rFonts w:ascii="Cambria" w:hAnsi="Cambria"/>
        </w:rPr>
        <w:t>.</w:t>
      </w:r>
      <w:r w:rsidR="002600AE" w:rsidRPr="003C5BB1">
        <w:rPr>
          <w:rFonts w:ascii="Cambria" w:hAnsi="Cambria"/>
        </w:rPr>
        <w:t xml:space="preserve"> </w:t>
      </w:r>
      <w:r w:rsidRPr="003C5BB1">
        <w:rPr>
          <w:rFonts w:ascii="Cambria" w:hAnsi="Cambria"/>
        </w:rPr>
        <w:t xml:space="preserve">The Debentures that are payable on the expiry of the specific period either in lumpsum or in instalments during life time of the company are called: </w:t>
      </w:r>
    </w:p>
    <w:p w14:paraId="5B5F57C4" w14:textId="77777777" w:rsidR="00F90B2C" w:rsidRPr="003C5BB1" w:rsidRDefault="00F90B2C" w:rsidP="001B3E72">
      <w:pPr>
        <w:spacing w:after="0" w:line="240" w:lineRule="auto"/>
        <w:jc w:val="both"/>
        <w:rPr>
          <w:rFonts w:ascii="Cambria" w:hAnsi="Cambria"/>
        </w:rPr>
      </w:pPr>
      <w:r w:rsidRPr="003C5BB1">
        <w:rPr>
          <w:rFonts w:ascii="Cambria" w:hAnsi="Cambria"/>
        </w:rPr>
        <w:t>(a) Secured Debentures</w:t>
      </w:r>
    </w:p>
    <w:p w14:paraId="73B6E5CC" w14:textId="77777777" w:rsidR="00F90B2C" w:rsidRPr="003C5BB1" w:rsidRDefault="00F90B2C" w:rsidP="001B3E72">
      <w:pPr>
        <w:spacing w:after="0" w:line="240" w:lineRule="auto"/>
        <w:jc w:val="both"/>
        <w:rPr>
          <w:rFonts w:ascii="Cambria" w:hAnsi="Cambria"/>
        </w:rPr>
      </w:pPr>
      <w:r w:rsidRPr="003C5BB1">
        <w:rPr>
          <w:rFonts w:ascii="Cambria" w:hAnsi="Cambria"/>
        </w:rPr>
        <w:t>(b) Redeemable Debentures</w:t>
      </w:r>
    </w:p>
    <w:p w14:paraId="4A9ABD04" w14:textId="77777777" w:rsidR="00F90B2C" w:rsidRPr="003C5BB1" w:rsidRDefault="00F90B2C" w:rsidP="001B3E72">
      <w:pPr>
        <w:spacing w:after="0" w:line="240" w:lineRule="auto"/>
        <w:jc w:val="both"/>
        <w:rPr>
          <w:rFonts w:ascii="Cambria" w:hAnsi="Cambria"/>
        </w:rPr>
      </w:pPr>
      <w:r w:rsidRPr="003C5BB1">
        <w:rPr>
          <w:rFonts w:ascii="Cambria" w:hAnsi="Cambria"/>
        </w:rPr>
        <w:t>(c) Perpetual Debentures</w:t>
      </w:r>
    </w:p>
    <w:p w14:paraId="2D5230AD" w14:textId="77777777" w:rsidR="00F90B2C" w:rsidRPr="003C5BB1" w:rsidRDefault="00F90B2C" w:rsidP="001B3E72">
      <w:pPr>
        <w:spacing w:after="0" w:line="240" w:lineRule="auto"/>
        <w:jc w:val="both"/>
        <w:rPr>
          <w:rFonts w:ascii="Cambria" w:hAnsi="Cambria"/>
        </w:rPr>
      </w:pPr>
      <w:r w:rsidRPr="003C5BB1">
        <w:rPr>
          <w:rFonts w:ascii="Cambria" w:hAnsi="Cambria"/>
        </w:rPr>
        <w:t>(d) Specific Coupon Rate Debentures</w:t>
      </w:r>
    </w:p>
    <w:p w14:paraId="0DF201D5" w14:textId="511DDDFD" w:rsidR="00AD3167" w:rsidRPr="003C5BB1" w:rsidRDefault="00AD3167">
      <w:pPr>
        <w:rPr>
          <w:rFonts w:ascii="Cambria" w:hAnsi="Cambria"/>
        </w:rPr>
      </w:pPr>
      <w:r w:rsidRPr="003C5BB1">
        <w:rPr>
          <w:rFonts w:ascii="Cambria" w:hAnsi="Cambria"/>
        </w:rPr>
        <w:br w:type="page"/>
      </w:r>
    </w:p>
    <w:p w14:paraId="793773F7" w14:textId="5FF2127B" w:rsidR="00AD3167" w:rsidRPr="003C5BB1" w:rsidRDefault="00AD3167">
      <w:pPr>
        <w:rPr>
          <w:rFonts w:ascii="Cambria" w:hAnsi="Cambria"/>
        </w:rPr>
      </w:pPr>
      <w:r w:rsidRPr="003C5BB1">
        <w:rPr>
          <w:rFonts w:ascii="Cambria" w:hAnsi="Cambria"/>
        </w:rPr>
        <w:lastRenderedPageBreak/>
        <w:t>Solutions</w:t>
      </w:r>
    </w:p>
    <w:p w14:paraId="113B22FC" w14:textId="77777777"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S1. Ans. (c)</w:t>
      </w:r>
    </w:p>
    <w:p w14:paraId="24B9D3B9" w14:textId="77777777" w:rsidR="00E26ED4" w:rsidRPr="003C5BB1" w:rsidRDefault="00E26ED4" w:rsidP="00700034">
      <w:pPr>
        <w:shd w:val="clear" w:color="auto" w:fill="FFFFFF" w:themeFill="background1"/>
        <w:spacing w:after="0" w:line="240" w:lineRule="auto"/>
        <w:jc w:val="both"/>
        <w:rPr>
          <w:rFonts w:ascii="Cambria" w:eastAsiaTheme="minorEastAsia" w:hAnsi="Cambria" w:cstheme="minorHAnsi"/>
          <w:color w:val="000000" w:themeColor="text1"/>
          <w:kern w:val="0"/>
          <w:lang w:bidi="en-US"/>
          <w14:ligatures w14:val="none"/>
        </w:rPr>
      </w:pPr>
      <w:r w:rsidRPr="003C5BB1">
        <w:rPr>
          <w:rFonts w:ascii="Cambria" w:eastAsiaTheme="minorEastAsia" w:hAnsi="Cambria" w:cstheme="minorHAnsi"/>
          <w:color w:val="000000" w:themeColor="text1"/>
          <w:kern w:val="0"/>
          <w:lang w:bidi="en-US"/>
          <w14:ligatures w14:val="none"/>
        </w:rPr>
        <w:t xml:space="preserve">Sol. </w:t>
      </w:r>
      <w:r w:rsidRPr="003C5BB1">
        <w:rPr>
          <w:rFonts w:ascii="Cambria" w:eastAsiaTheme="minorEastAsia" w:hAnsi="Cambria" w:cstheme="minorHAnsi"/>
          <w:color w:val="000000" w:themeColor="text1"/>
          <w:kern w:val="0"/>
          <w:lang w:val="en-IN" w:bidi="en-US"/>
          <w14:ligatures w14:val="none"/>
        </w:rPr>
        <w:t>According to Indian Partnership Act, 1932, when the firm is dissolved, cash received on sale of assets are applied in following order:</w:t>
      </w:r>
    </w:p>
    <w:p w14:paraId="07FC2033" w14:textId="77777777"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1. In paying the secured debts of the firm to the third parties</w:t>
      </w:r>
    </w:p>
    <w:p w14:paraId="6E6BFCA5" w14:textId="77777777"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2. In paying unsecured debt of firm to third parties</w:t>
      </w:r>
    </w:p>
    <w:p w14:paraId="3FC84804" w14:textId="77777777" w:rsidR="00E26ED4" w:rsidRPr="003C5BB1" w:rsidRDefault="00E26ED4" w:rsidP="000F6FB1">
      <w:pPr>
        <w:shd w:val="clear" w:color="auto" w:fill="FFFFFF" w:themeFill="background1"/>
        <w:spacing w:after="0" w:line="240" w:lineRule="auto"/>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3. In paying each partner proportionately what is due to him/her from the firm for advances as distinguished from capital (Partner’s Loan)</w:t>
      </w:r>
    </w:p>
    <w:p w14:paraId="017FA7E2" w14:textId="77777777"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4. Paying to each partner proportionately what is due to him/her on account of capital</w:t>
      </w:r>
    </w:p>
    <w:p w14:paraId="19584832" w14:textId="77777777"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 xml:space="preserve">5. The residue, if any shall be divided among the </w:t>
      </w:r>
      <w:proofErr w:type="gramStart"/>
      <w:r w:rsidRPr="003C5BB1">
        <w:rPr>
          <w:rFonts w:ascii="Cambria" w:eastAsiaTheme="minorEastAsia" w:hAnsi="Cambria" w:cstheme="minorHAnsi"/>
          <w:color w:val="000000" w:themeColor="text1"/>
          <w:kern w:val="0"/>
          <w:lang w:val="en-IN" w:bidi="en-US"/>
          <w14:ligatures w14:val="none"/>
        </w:rPr>
        <w:t>partner's</w:t>
      </w:r>
      <w:proofErr w:type="gramEnd"/>
      <w:r w:rsidRPr="003C5BB1">
        <w:rPr>
          <w:rFonts w:ascii="Cambria" w:eastAsiaTheme="minorEastAsia" w:hAnsi="Cambria" w:cstheme="minorHAnsi"/>
          <w:color w:val="000000" w:themeColor="text1"/>
          <w:kern w:val="0"/>
          <w:lang w:val="en-IN" w:bidi="en-US"/>
          <w14:ligatures w14:val="none"/>
        </w:rPr>
        <w:t xml:space="preserve"> in their </w:t>
      </w:r>
      <w:proofErr w:type="gramStart"/>
      <w:r w:rsidRPr="003C5BB1">
        <w:rPr>
          <w:rFonts w:ascii="Cambria" w:eastAsiaTheme="minorEastAsia" w:hAnsi="Cambria" w:cstheme="minorHAnsi"/>
          <w:color w:val="000000" w:themeColor="text1"/>
          <w:kern w:val="0"/>
          <w:lang w:val="en-IN" w:bidi="en-US"/>
          <w14:ligatures w14:val="none"/>
        </w:rPr>
        <w:t>profit sharing</w:t>
      </w:r>
      <w:proofErr w:type="gramEnd"/>
      <w:r w:rsidRPr="003C5BB1">
        <w:rPr>
          <w:rFonts w:ascii="Cambria" w:eastAsiaTheme="minorEastAsia" w:hAnsi="Cambria" w:cstheme="minorHAnsi"/>
          <w:color w:val="000000" w:themeColor="text1"/>
          <w:kern w:val="0"/>
          <w:lang w:val="en-IN" w:bidi="en-US"/>
          <w14:ligatures w14:val="none"/>
        </w:rPr>
        <w:t xml:space="preserve"> ratio</w:t>
      </w:r>
    </w:p>
    <w:p w14:paraId="6AD65764" w14:textId="713E4A1A" w:rsidR="00E26ED4" w:rsidRPr="003C5BB1" w:rsidRDefault="00E26ED4" w:rsidP="00E26ED4">
      <w:pPr>
        <w:shd w:val="clear" w:color="auto" w:fill="FFFFFF" w:themeFill="background1"/>
        <w:spacing w:after="0" w:line="240" w:lineRule="auto"/>
        <w:ind w:left="547" w:hanging="547"/>
        <w:jc w:val="both"/>
        <w:rPr>
          <w:rFonts w:ascii="Cambria" w:eastAsiaTheme="minorEastAsia" w:hAnsi="Cambria" w:cstheme="minorHAnsi"/>
          <w:color w:val="000000" w:themeColor="text1"/>
          <w:kern w:val="0"/>
          <w:lang w:val="en-IN" w:bidi="en-US"/>
          <w14:ligatures w14:val="none"/>
        </w:rPr>
      </w:pPr>
      <w:r w:rsidRPr="003C5BB1">
        <w:rPr>
          <w:rFonts w:ascii="Cambria" w:eastAsiaTheme="minorEastAsia" w:hAnsi="Cambria" w:cstheme="minorHAnsi"/>
          <w:color w:val="000000" w:themeColor="text1"/>
          <w:kern w:val="0"/>
          <w:lang w:val="en-IN" w:bidi="en-US"/>
          <w14:ligatures w14:val="none"/>
        </w:rPr>
        <w:t xml:space="preserve">Hence, the correct answer C, D, A, B, E. </w:t>
      </w:r>
    </w:p>
    <w:p w14:paraId="4E1BED04" w14:textId="77777777" w:rsidR="00ED23E8" w:rsidRPr="003C5BB1" w:rsidRDefault="00ED23E8" w:rsidP="00211286">
      <w:pPr>
        <w:shd w:val="clear" w:color="auto" w:fill="FFFFFF" w:themeFill="background1"/>
        <w:spacing w:after="0" w:line="240" w:lineRule="auto"/>
        <w:ind w:left="547" w:hanging="547"/>
        <w:jc w:val="both"/>
        <w:rPr>
          <w:rFonts w:ascii="Cambria" w:hAnsi="Cambria"/>
        </w:rPr>
      </w:pPr>
    </w:p>
    <w:p w14:paraId="4D2EBB10" w14:textId="3653F648" w:rsidR="00211286" w:rsidRPr="003C5BB1" w:rsidRDefault="00211286" w:rsidP="00211286">
      <w:pPr>
        <w:shd w:val="clear" w:color="auto" w:fill="FFFFFF" w:themeFill="background1"/>
        <w:spacing w:after="0" w:line="240" w:lineRule="auto"/>
        <w:ind w:left="547" w:hanging="547"/>
        <w:jc w:val="both"/>
        <w:rPr>
          <w:rFonts w:ascii="Cambria" w:hAnsi="Cambria"/>
        </w:rPr>
      </w:pPr>
      <w:r w:rsidRPr="003C5BB1">
        <w:rPr>
          <w:rFonts w:ascii="Cambria" w:hAnsi="Cambria"/>
        </w:rPr>
        <w:t>S2. Ans. (c)</w:t>
      </w:r>
    </w:p>
    <w:p w14:paraId="14CB3EFD" w14:textId="77777777" w:rsidR="00211286" w:rsidRPr="003C5BB1" w:rsidRDefault="00211286" w:rsidP="00211286">
      <w:pPr>
        <w:shd w:val="clear" w:color="auto" w:fill="FFFFFF" w:themeFill="background1"/>
        <w:spacing w:after="0" w:line="240" w:lineRule="auto"/>
        <w:jc w:val="both"/>
        <w:rPr>
          <w:rFonts w:ascii="Cambria" w:hAnsi="Cambria"/>
        </w:rPr>
      </w:pPr>
      <w:r w:rsidRPr="003C5BB1">
        <w:rPr>
          <w:rFonts w:ascii="Cambria" w:hAnsi="Cambria"/>
        </w:rPr>
        <w:t xml:space="preserve">Sol. Partner's Loan to the firm is not included in the </w:t>
      </w:r>
      <w:proofErr w:type="spellStart"/>
      <w:r w:rsidRPr="003C5BB1">
        <w:rPr>
          <w:rFonts w:ascii="Cambria" w:hAnsi="Cambria"/>
        </w:rPr>
        <w:t>Realisation</w:t>
      </w:r>
      <w:proofErr w:type="spellEnd"/>
      <w:r w:rsidRPr="003C5BB1">
        <w:rPr>
          <w:rFonts w:ascii="Cambria" w:hAnsi="Cambria"/>
        </w:rPr>
        <w:t xml:space="preserve"> Account, as it represents a claim of the partner against the firm and is settled separately between the partner and the firm through Partner’s Loan Account, not through the </w:t>
      </w:r>
      <w:proofErr w:type="spellStart"/>
      <w:r w:rsidRPr="003C5BB1">
        <w:rPr>
          <w:rFonts w:ascii="Cambria" w:hAnsi="Cambria"/>
        </w:rPr>
        <w:t>Realisation</w:t>
      </w:r>
      <w:proofErr w:type="spellEnd"/>
      <w:r w:rsidRPr="003C5BB1">
        <w:rPr>
          <w:rFonts w:ascii="Cambria" w:hAnsi="Cambria"/>
        </w:rPr>
        <w:t xml:space="preserve"> Account.</w:t>
      </w:r>
    </w:p>
    <w:p w14:paraId="3B9DC145" w14:textId="77777777" w:rsidR="002F63EC" w:rsidRPr="003C5BB1" w:rsidRDefault="002F63EC" w:rsidP="00211286">
      <w:pPr>
        <w:shd w:val="clear" w:color="auto" w:fill="FFFFFF" w:themeFill="background1"/>
        <w:spacing w:after="0" w:line="250" w:lineRule="auto"/>
        <w:ind w:left="547" w:hanging="547"/>
        <w:jc w:val="both"/>
        <w:rPr>
          <w:rFonts w:ascii="Cambria" w:hAnsi="Cambria"/>
        </w:rPr>
      </w:pPr>
    </w:p>
    <w:p w14:paraId="543C3225" w14:textId="7738082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S3. Ans. (a)</w:t>
      </w:r>
    </w:p>
    <w:p w14:paraId="245CA529"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 xml:space="preserve">Sol. The correct sequence for the form and content of the statement of Profit and Loss is: </w:t>
      </w:r>
    </w:p>
    <w:p w14:paraId="1138E911"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 xml:space="preserve">(C) Revenue from operations, </w:t>
      </w:r>
    </w:p>
    <w:p w14:paraId="4F51FC7A"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 xml:space="preserve">(E) Dividend Income, </w:t>
      </w:r>
    </w:p>
    <w:p w14:paraId="174FC338"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 xml:space="preserve">(D) Purchase of stock in Trade, </w:t>
      </w:r>
    </w:p>
    <w:p w14:paraId="6A00E839"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 xml:space="preserve">(A) Employee Benefit Expenses, </w:t>
      </w:r>
    </w:p>
    <w:p w14:paraId="3FD9CB58" w14:textId="77777777" w:rsidR="00211286" w:rsidRPr="003C5BB1" w:rsidRDefault="00211286" w:rsidP="00211286">
      <w:pPr>
        <w:shd w:val="clear" w:color="auto" w:fill="FFFFFF" w:themeFill="background1"/>
        <w:spacing w:after="0" w:line="250" w:lineRule="auto"/>
        <w:ind w:left="547" w:hanging="547"/>
        <w:jc w:val="both"/>
        <w:rPr>
          <w:rFonts w:ascii="Cambria" w:hAnsi="Cambria"/>
        </w:rPr>
      </w:pPr>
      <w:r w:rsidRPr="003C5BB1">
        <w:rPr>
          <w:rFonts w:ascii="Cambria" w:hAnsi="Cambria"/>
        </w:rPr>
        <w:t>(B) Tax provided.</w:t>
      </w:r>
    </w:p>
    <w:p w14:paraId="73E6E005" w14:textId="77777777" w:rsidR="00133D31" w:rsidRPr="003C5BB1" w:rsidRDefault="00133D31" w:rsidP="00AB36E1">
      <w:pPr>
        <w:shd w:val="clear" w:color="auto" w:fill="FFFFFF" w:themeFill="background1"/>
        <w:spacing w:after="0" w:line="240" w:lineRule="auto"/>
        <w:ind w:left="547" w:hanging="547"/>
        <w:jc w:val="both"/>
        <w:rPr>
          <w:rFonts w:ascii="Cambria" w:hAnsi="Cambria"/>
        </w:rPr>
      </w:pPr>
    </w:p>
    <w:p w14:paraId="04B4125F" w14:textId="65406EC8" w:rsidR="00AB36E1" w:rsidRPr="003C5BB1" w:rsidRDefault="00AB36E1" w:rsidP="00AB36E1">
      <w:pPr>
        <w:shd w:val="clear" w:color="auto" w:fill="FFFFFF" w:themeFill="background1"/>
        <w:spacing w:after="0" w:line="240" w:lineRule="auto"/>
        <w:ind w:left="547" w:hanging="547"/>
        <w:jc w:val="both"/>
        <w:rPr>
          <w:rFonts w:ascii="Cambria" w:hAnsi="Cambria"/>
        </w:rPr>
      </w:pPr>
      <w:r w:rsidRPr="003C5BB1">
        <w:rPr>
          <w:rFonts w:ascii="Cambria" w:hAnsi="Cambria"/>
        </w:rPr>
        <w:t>S4. Ans. (d)</w:t>
      </w:r>
    </w:p>
    <w:p w14:paraId="0B317D70" w14:textId="77777777" w:rsidR="00AB36E1" w:rsidRPr="003C5BB1" w:rsidRDefault="00AB36E1" w:rsidP="00AB36E1">
      <w:pPr>
        <w:shd w:val="clear" w:color="auto" w:fill="FFFFFF" w:themeFill="background1"/>
        <w:spacing w:after="0" w:line="240" w:lineRule="auto"/>
        <w:ind w:left="547" w:hanging="547"/>
        <w:jc w:val="both"/>
        <w:rPr>
          <w:rFonts w:ascii="Cambria" w:hAnsi="Cambria"/>
        </w:rPr>
      </w:pPr>
      <w:r w:rsidRPr="003C5BB1">
        <w:rPr>
          <w:rFonts w:ascii="Cambria" w:hAnsi="Cambria"/>
        </w:rPr>
        <w:t xml:space="preserve">Sol. </w:t>
      </w:r>
    </w:p>
    <w:p w14:paraId="04A5EAA3" w14:textId="77777777" w:rsidR="00AB36E1" w:rsidRPr="003C5BB1" w:rsidRDefault="00AB36E1" w:rsidP="001B6D7D">
      <w:pPr>
        <w:shd w:val="clear" w:color="auto" w:fill="FFFFFF" w:themeFill="background1"/>
        <w:spacing w:after="0" w:line="240" w:lineRule="auto"/>
        <w:jc w:val="both"/>
        <w:rPr>
          <w:rFonts w:ascii="Cambria" w:hAnsi="Cambria"/>
        </w:rPr>
      </w:pPr>
      <w:r w:rsidRPr="003C5BB1">
        <w:rPr>
          <w:rFonts w:ascii="Cambria" w:hAnsi="Cambria"/>
        </w:rPr>
        <w:t>The Securities Premium Account, which accumulates from issuing shares above their face value, has specific uses under The Companies Act, 2013. It can be used for issuing fully paid bonus shares, writing off preliminary expenses, and paying the premium on redemption of preference shares or debentures. However, it cannot be used for distributing dividends to shareholders, as dividends are generally paid out of profits.</w:t>
      </w:r>
    </w:p>
    <w:p w14:paraId="692AD6B1" w14:textId="77777777" w:rsidR="000724FF" w:rsidRPr="003C5BB1" w:rsidRDefault="000724FF" w:rsidP="00565F0A">
      <w:pPr>
        <w:spacing w:after="0" w:line="240" w:lineRule="auto"/>
        <w:ind w:left="547" w:hanging="547"/>
        <w:jc w:val="both"/>
        <w:rPr>
          <w:rFonts w:ascii="Cambria" w:hAnsi="Cambria"/>
        </w:rPr>
      </w:pPr>
    </w:p>
    <w:p w14:paraId="49A86606" w14:textId="77148478" w:rsidR="00565F0A" w:rsidRPr="003C5BB1" w:rsidRDefault="00565F0A" w:rsidP="00565F0A">
      <w:pPr>
        <w:spacing w:after="0" w:line="240" w:lineRule="auto"/>
        <w:ind w:left="547" w:hanging="547"/>
        <w:jc w:val="both"/>
        <w:rPr>
          <w:rFonts w:ascii="Cambria" w:hAnsi="Cambria"/>
        </w:rPr>
      </w:pPr>
      <w:r w:rsidRPr="003C5BB1">
        <w:rPr>
          <w:rFonts w:ascii="Cambria" w:hAnsi="Cambria"/>
        </w:rPr>
        <w:t>S5.</w:t>
      </w:r>
      <w:r w:rsidR="00CB29C3" w:rsidRPr="003C5BB1">
        <w:rPr>
          <w:rFonts w:ascii="Cambria" w:hAnsi="Cambria"/>
        </w:rPr>
        <w:t xml:space="preserve"> </w:t>
      </w:r>
      <w:r w:rsidRPr="003C5BB1">
        <w:rPr>
          <w:rFonts w:ascii="Cambria" w:hAnsi="Cambria"/>
        </w:rPr>
        <w:t>Ans. (c)</w:t>
      </w:r>
    </w:p>
    <w:p w14:paraId="5C5EC553" w14:textId="6F08833F" w:rsidR="00565F0A" w:rsidRPr="003C5BB1" w:rsidRDefault="00565F0A" w:rsidP="00565F0A">
      <w:pPr>
        <w:spacing w:after="0" w:line="240" w:lineRule="auto"/>
        <w:ind w:left="547" w:hanging="547"/>
        <w:jc w:val="both"/>
        <w:rPr>
          <w:rFonts w:ascii="Cambria" w:hAnsi="Cambria"/>
        </w:rPr>
      </w:pPr>
      <w:r w:rsidRPr="003C5BB1">
        <w:rPr>
          <w:rFonts w:ascii="Cambria" w:hAnsi="Cambria"/>
        </w:rPr>
        <w:t>Sol.</w:t>
      </w:r>
    </w:p>
    <w:tbl>
      <w:tblPr>
        <w:tblStyle w:val="TableGrid"/>
        <w:tblW w:w="4838" w:type="dxa"/>
        <w:tblLayout w:type="fixed"/>
        <w:tblLook w:val="04A0" w:firstRow="1" w:lastRow="0" w:firstColumn="1" w:lastColumn="0" w:noHBand="0" w:noVBand="1"/>
      </w:tblPr>
      <w:tblGrid>
        <w:gridCol w:w="450"/>
        <w:gridCol w:w="1979"/>
        <w:gridCol w:w="425"/>
        <w:gridCol w:w="1978"/>
        <w:gridCol w:w="6"/>
      </w:tblGrid>
      <w:tr w:rsidR="00565F0A" w:rsidRPr="003C5BB1" w14:paraId="4085D22D" w14:textId="77777777" w:rsidTr="00AE5D7A">
        <w:tc>
          <w:tcPr>
            <w:tcW w:w="2429" w:type="dxa"/>
            <w:gridSpan w:val="2"/>
            <w:tcBorders>
              <w:top w:val="single" w:sz="4" w:space="0" w:color="auto"/>
              <w:left w:val="single" w:sz="4" w:space="0" w:color="auto"/>
              <w:bottom w:val="single" w:sz="4" w:space="0" w:color="auto"/>
              <w:right w:val="single" w:sz="4" w:space="0" w:color="auto"/>
            </w:tcBorders>
            <w:hideMark/>
          </w:tcPr>
          <w:p w14:paraId="3AC4F67E" w14:textId="77777777" w:rsidR="00565F0A" w:rsidRPr="003C5BB1" w:rsidRDefault="00565F0A" w:rsidP="00AE5D7A">
            <w:pPr>
              <w:ind w:left="547" w:hanging="547"/>
              <w:jc w:val="center"/>
              <w:rPr>
                <w:rFonts w:ascii="Cambria" w:hAnsi="Cambria"/>
                <w:sz w:val="24"/>
                <w:szCs w:val="24"/>
              </w:rPr>
            </w:pPr>
            <w:r w:rsidRPr="003C5BB1">
              <w:rPr>
                <w:rFonts w:ascii="Cambria" w:hAnsi="Cambria"/>
                <w:sz w:val="24"/>
                <w:szCs w:val="24"/>
              </w:rPr>
              <w:t>LIST I</w:t>
            </w:r>
          </w:p>
        </w:tc>
        <w:tc>
          <w:tcPr>
            <w:tcW w:w="2409" w:type="dxa"/>
            <w:gridSpan w:val="3"/>
            <w:tcBorders>
              <w:top w:val="single" w:sz="4" w:space="0" w:color="auto"/>
              <w:left w:val="single" w:sz="4" w:space="0" w:color="auto"/>
              <w:bottom w:val="single" w:sz="4" w:space="0" w:color="auto"/>
              <w:right w:val="single" w:sz="4" w:space="0" w:color="auto"/>
            </w:tcBorders>
            <w:hideMark/>
          </w:tcPr>
          <w:p w14:paraId="3131047C" w14:textId="77777777" w:rsidR="00565F0A" w:rsidRPr="003C5BB1" w:rsidRDefault="00565F0A" w:rsidP="00AE5D7A">
            <w:pPr>
              <w:ind w:left="547" w:hanging="547"/>
              <w:jc w:val="center"/>
              <w:rPr>
                <w:rFonts w:ascii="Cambria" w:hAnsi="Cambria"/>
                <w:sz w:val="24"/>
                <w:szCs w:val="24"/>
              </w:rPr>
            </w:pPr>
            <w:r w:rsidRPr="003C5BB1">
              <w:rPr>
                <w:rFonts w:ascii="Cambria" w:hAnsi="Cambria"/>
                <w:sz w:val="24"/>
                <w:szCs w:val="24"/>
              </w:rPr>
              <w:t>LIST II</w:t>
            </w:r>
          </w:p>
        </w:tc>
      </w:tr>
      <w:tr w:rsidR="00565F0A" w:rsidRPr="003C5BB1" w14:paraId="34264CF8" w14:textId="77777777" w:rsidTr="00AE5D7A">
        <w:trPr>
          <w:gridAfter w:val="1"/>
          <w:wAfter w:w="6" w:type="dxa"/>
        </w:trPr>
        <w:tc>
          <w:tcPr>
            <w:tcW w:w="450" w:type="dxa"/>
            <w:tcBorders>
              <w:top w:val="single" w:sz="4" w:space="0" w:color="auto"/>
              <w:left w:val="single" w:sz="4" w:space="0" w:color="auto"/>
              <w:bottom w:val="single" w:sz="4" w:space="0" w:color="auto"/>
              <w:right w:val="single" w:sz="4" w:space="0" w:color="auto"/>
            </w:tcBorders>
            <w:hideMark/>
          </w:tcPr>
          <w:p w14:paraId="68DCECF9"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A.</w:t>
            </w:r>
          </w:p>
        </w:tc>
        <w:tc>
          <w:tcPr>
            <w:tcW w:w="1979" w:type="dxa"/>
            <w:tcBorders>
              <w:top w:val="single" w:sz="4" w:space="0" w:color="auto"/>
              <w:left w:val="single" w:sz="4" w:space="0" w:color="auto"/>
              <w:bottom w:val="single" w:sz="4" w:space="0" w:color="auto"/>
              <w:right w:val="single" w:sz="4" w:space="0" w:color="auto"/>
            </w:tcBorders>
            <w:hideMark/>
          </w:tcPr>
          <w:p w14:paraId="7E7C0A7C" w14:textId="77777777" w:rsidR="00565F0A" w:rsidRPr="003C5BB1" w:rsidRDefault="00565F0A" w:rsidP="00AE5D7A">
            <w:pPr>
              <w:ind w:left="547" w:hanging="547"/>
              <w:rPr>
                <w:rFonts w:ascii="Cambria" w:hAnsi="Cambria"/>
                <w:sz w:val="24"/>
                <w:szCs w:val="24"/>
              </w:rPr>
            </w:pPr>
            <w:r w:rsidRPr="003C5BB1">
              <w:rPr>
                <w:rFonts w:ascii="Cambria" w:hAnsi="Cambria"/>
                <w:sz w:val="24"/>
                <w:szCs w:val="24"/>
              </w:rPr>
              <w:t>Employee benefit expenses</w:t>
            </w:r>
          </w:p>
        </w:tc>
        <w:tc>
          <w:tcPr>
            <w:tcW w:w="425" w:type="dxa"/>
            <w:tcBorders>
              <w:top w:val="single" w:sz="4" w:space="0" w:color="auto"/>
              <w:left w:val="single" w:sz="4" w:space="0" w:color="auto"/>
              <w:bottom w:val="single" w:sz="4" w:space="0" w:color="auto"/>
              <w:right w:val="single" w:sz="4" w:space="0" w:color="auto"/>
            </w:tcBorders>
            <w:hideMark/>
          </w:tcPr>
          <w:p w14:paraId="77AB24D0"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II</w:t>
            </w:r>
          </w:p>
        </w:tc>
        <w:tc>
          <w:tcPr>
            <w:tcW w:w="1978" w:type="dxa"/>
            <w:tcBorders>
              <w:top w:val="single" w:sz="4" w:space="0" w:color="auto"/>
              <w:left w:val="single" w:sz="4" w:space="0" w:color="auto"/>
              <w:bottom w:val="single" w:sz="4" w:space="0" w:color="auto"/>
              <w:right w:val="single" w:sz="4" w:space="0" w:color="auto"/>
            </w:tcBorders>
            <w:hideMark/>
          </w:tcPr>
          <w:p w14:paraId="7BB043CF"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 xml:space="preserve">Operating activity </w:t>
            </w:r>
          </w:p>
        </w:tc>
      </w:tr>
      <w:tr w:rsidR="00565F0A" w:rsidRPr="003C5BB1" w14:paraId="0A142502" w14:textId="77777777" w:rsidTr="00AE5D7A">
        <w:trPr>
          <w:gridAfter w:val="1"/>
          <w:wAfter w:w="6" w:type="dxa"/>
        </w:trPr>
        <w:tc>
          <w:tcPr>
            <w:tcW w:w="450" w:type="dxa"/>
            <w:tcBorders>
              <w:top w:val="single" w:sz="4" w:space="0" w:color="auto"/>
              <w:left w:val="single" w:sz="4" w:space="0" w:color="auto"/>
              <w:bottom w:val="single" w:sz="4" w:space="0" w:color="auto"/>
              <w:right w:val="single" w:sz="4" w:space="0" w:color="auto"/>
            </w:tcBorders>
            <w:hideMark/>
          </w:tcPr>
          <w:p w14:paraId="3C6387CE"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B.</w:t>
            </w:r>
          </w:p>
        </w:tc>
        <w:tc>
          <w:tcPr>
            <w:tcW w:w="1979" w:type="dxa"/>
            <w:tcBorders>
              <w:top w:val="single" w:sz="4" w:space="0" w:color="auto"/>
              <w:left w:val="single" w:sz="4" w:space="0" w:color="auto"/>
              <w:bottom w:val="single" w:sz="4" w:space="0" w:color="auto"/>
              <w:right w:val="single" w:sz="4" w:space="0" w:color="auto"/>
            </w:tcBorders>
            <w:hideMark/>
          </w:tcPr>
          <w:p w14:paraId="515DCF23"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Dividend received</w:t>
            </w:r>
          </w:p>
        </w:tc>
        <w:tc>
          <w:tcPr>
            <w:tcW w:w="425" w:type="dxa"/>
            <w:tcBorders>
              <w:top w:val="single" w:sz="4" w:space="0" w:color="auto"/>
              <w:left w:val="single" w:sz="4" w:space="0" w:color="auto"/>
              <w:bottom w:val="single" w:sz="4" w:space="0" w:color="auto"/>
              <w:right w:val="single" w:sz="4" w:space="0" w:color="auto"/>
            </w:tcBorders>
            <w:hideMark/>
          </w:tcPr>
          <w:p w14:paraId="16E061BC"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I</w:t>
            </w:r>
          </w:p>
        </w:tc>
        <w:tc>
          <w:tcPr>
            <w:tcW w:w="1978" w:type="dxa"/>
            <w:tcBorders>
              <w:top w:val="single" w:sz="4" w:space="0" w:color="auto"/>
              <w:left w:val="single" w:sz="4" w:space="0" w:color="auto"/>
              <w:bottom w:val="single" w:sz="4" w:space="0" w:color="auto"/>
              <w:right w:val="single" w:sz="4" w:space="0" w:color="auto"/>
            </w:tcBorders>
            <w:hideMark/>
          </w:tcPr>
          <w:p w14:paraId="391231FA"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Investing activity</w:t>
            </w:r>
          </w:p>
        </w:tc>
      </w:tr>
      <w:tr w:rsidR="00565F0A" w:rsidRPr="003C5BB1" w14:paraId="40C7234B" w14:textId="77777777" w:rsidTr="00AE5D7A">
        <w:trPr>
          <w:gridAfter w:val="1"/>
          <w:wAfter w:w="6" w:type="dxa"/>
        </w:trPr>
        <w:tc>
          <w:tcPr>
            <w:tcW w:w="450" w:type="dxa"/>
            <w:tcBorders>
              <w:top w:val="single" w:sz="4" w:space="0" w:color="auto"/>
              <w:left w:val="single" w:sz="4" w:space="0" w:color="auto"/>
              <w:bottom w:val="single" w:sz="4" w:space="0" w:color="auto"/>
              <w:right w:val="single" w:sz="4" w:space="0" w:color="auto"/>
            </w:tcBorders>
            <w:hideMark/>
          </w:tcPr>
          <w:p w14:paraId="41DC6165"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C.</w:t>
            </w:r>
          </w:p>
        </w:tc>
        <w:tc>
          <w:tcPr>
            <w:tcW w:w="1979" w:type="dxa"/>
            <w:tcBorders>
              <w:top w:val="single" w:sz="4" w:space="0" w:color="auto"/>
              <w:left w:val="single" w:sz="4" w:space="0" w:color="auto"/>
              <w:bottom w:val="single" w:sz="4" w:space="0" w:color="auto"/>
              <w:right w:val="single" w:sz="4" w:space="0" w:color="auto"/>
            </w:tcBorders>
            <w:hideMark/>
          </w:tcPr>
          <w:p w14:paraId="3E9124DA"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Loan raised</w:t>
            </w:r>
          </w:p>
        </w:tc>
        <w:tc>
          <w:tcPr>
            <w:tcW w:w="425" w:type="dxa"/>
            <w:tcBorders>
              <w:top w:val="single" w:sz="4" w:space="0" w:color="auto"/>
              <w:left w:val="single" w:sz="4" w:space="0" w:color="auto"/>
              <w:bottom w:val="single" w:sz="4" w:space="0" w:color="auto"/>
              <w:right w:val="single" w:sz="4" w:space="0" w:color="auto"/>
            </w:tcBorders>
            <w:hideMark/>
          </w:tcPr>
          <w:p w14:paraId="613F8BC5"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IV</w:t>
            </w:r>
          </w:p>
        </w:tc>
        <w:tc>
          <w:tcPr>
            <w:tcW w:w="1978" w:type="dxa"/>
            <w:tcBorders>
              <w:top w:val="single" w:sz="4" w:space="0" w:color="auto"/>
              <w:left w:val="single" w:sz="4" w:space="0" w:color="auto"/>
              <w:bottom w:val="single" w:sz="4" w:space="0" w:color="auto"/>
              <w:right w:val="single" w:sz="4" w:space="0" w:color="auto"/>
            </w:tcBorders>
            <w:hideMark/>
          </w:tcPr>
          <w:p w14:paraId="5DE1F6D5"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 xml:space="preserve">Financing activity </w:t>
            </w:r>
          </w:p>
        </w:tc>
      </w:tr>
      <w:tr w:rsidR="00565F0A" w:rsidRPr="003C5BB1" w14:paraId="040AF2C2" w14:textId="77777777" w:rsidTr="00AE5D7A">
        <w:trPr>
          <w:gridAfter w:val="1"/>
          <w:wAfter w:w="6" w:type="dxa"/>
        </w:trPr>
        <w:tc>
          <w:tcPr>
            <w:tcW w:w="450" w:type="dxa"/>
            <w:tcBorders>
              <w:top w:val="single" w:sz="4" w:space="0" w:color="auto"/>
              <w:left w:val="single" w:sz="4" w:space="0" w:color="auto"/>
              <w:bottom w:val="single" w:sz="4" w:space="0" w:color="auto"/>
              <w:right w:val="single" w:sz="4" w:space="0" w:color="auto"/>
            </w:tcBorders>
            <w:hideMark/>
          </w:tcPr>
          <w:p w14:paraId="32A1CCE3"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lastRenderedPageBreak/>
              <w:t>D.</w:t>
            </w:r>
          </w:p>
        </w:tc>
        <w:tc>
          <w:tcPr>
            <w:tcW w:w="1979" w:type="dxa"/>
            <w:tcBorders>
              <w:top w:val="single" w:sz="4" w:space="0" w:color="auto"/>
              <w:left w:val="single" w:sz="4" w:space="0" w:color="auto"/>
              <w:bottom w:val="single" w:sz="4" w:space="0" w:color="auto"/>
              <w:right w:val="single" w:sz="4" w:space="0" w:color="auto"/>
            </w:tcBorders>
            <w:hideMark/>
          </w:tcPr>
          <w:p w14:paraId="043DF5BD" w14:textId="77777777" w:rsidR="00565F0A" w:rsidRPr="003C5BB1" w:rsidRDefault="00565F0A" w:rsidP="00AE5D7A">
            <w:pPr>
              <w:rPr>
                <w:rFonts w:ascii="Cambria" w:hAnsi="Cambria"/>
                <w:sz w:val="24"/>
                <w:szCs w:val="24"/>
              </w:rPr>
            </w:pPr>
            <w:r w:rsidRPr="003C5BB1">
              <w:rPr>
                <w:rFonts w:ascii="Cambria" w:hAnsi="Cambria"/>
                <w:sz w:val="24"/>
                <w:szCs w:val="24"/>
              </w:rPr>
              <w:t>Proceeds from earthquake disaster management</w:t>
            </w:r>
          </w:p>
        </w:tc>
        <w:tc>
          <w:tcPr>
            <w:tcW w:w="425" w:type="dxa"/>
            <w:tcBorders>
              <w:top w:val="single" w:sz="4" w:space="0" w:color="auto"/>
              <w:left w:val="single" w:sz="4" w:space="0" w:color="auto"/>
              <w:bottom w:val="single" w:sz="4" w:space="0" w:color="auto"/>
              <w:right w:val="single" w:sz="4" w:space="0" w:color="auto"/>
            </w:tcBorders>
            <w:hideMark/>
          </w:tcPr>
          <w:p w14:paraId="5808FBE5"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III</w:t>
            </w:r>
          </w:p>
        </w:tc>
        <w:tc>
          <w:tcPr>
            <w:tcW w:w="1978" w:type="dxa"/>
            <w:tcBorders>
              <w:top w:val="single" w:sz="4" w:space="0" w:color="auto"/>
              <w:left w:val="single" w:sz="4" w:space="0" w:color="auto"/>
              <w:bottom w:val="single" w:sz="4" w:space="0" w:color="auto"/>
              <w:right w:val="single" w:sz="4" w:space="0" w:color="auto"/>
            </w:tcBorders>
            <w:hideMark/>
          </w:tcPr>
          <w:p w14:paraId="6BB46EC9" w14:textId="77777777" w:rsidR="00565F0A" w:rsidRPr="003C5BB1" w:rsidRDefault="00565F0A" w:rsidP="00AE5D7A">
            <w:pPr>
              <w:ind w:left="547" w:hanging="547"/>
              <w:jc w:val="both"/>
              <w:rPr>
                <w:rFonts w:ascii="Cambria" w:hAnsi="Cambria"/>
                <w:sz w:val="24"/>
                <w:szCs w:val="24"/>
              </w:rPr>
            </w:pPr>
            <w:r w:rsidRPr="003C5BB1">
              <w:rPr>
                <w:rFonts w:ascii="Cambria" w:hAnsi="Cambria"/>
                <w:sz w:val="24"/>
                <w:szCs w:val="24"/>
              </w:rPr>
              <w:t>Extraordinary item</w:t>
            </w:r>
          </w:p>
        </w:tc>
      </w:tr>
    </w:tbl>
    <w:p w14:paraId="66D5519C" w14:textId="77777777" w:rsidR="002043C3" w:rsidRPr="003C5BB1" w:rsidRDefault="002043C3" w:rsidP="002043C3">
      <w:pPr>
        <w:spacing w:after="0" w:line="264" w:lineRule="auto"/>
        <w:ind w:left="547" w:hanging="547"/>
        <w:jc w:val="both"/>
        <w:rPr>
          <w:rFonts w:ascii="Cambria" w:hAnsi="Cambria"/>
        </w:rPr>
      </w:pPr>
      <w:r w:rsidRPr="003C5BB1">
        <w:rPr>
          <w:rFonts w:ascii="Cambria" w:hAnsi="Cambria"/>
        </w:rPr>
        <w:t>S6. Ans. (d)</w:t>
      </w:r>
    </w:p>
    <w:p w14:paraId="2A97E938" w14:textId="77777777" w:rsidR="006D3FCB" w:rsidRPr="003C5BB1" w:rsidRDefault="002043C3" w:rsidP="002043C3">
      <w:pPr>
        <w:spacing w:after="0" w:line="264" w:lineRule="auto"/>
        <w:ind w:left="547" w:hanging="547"/>
        <w:rPr>
          <w:rFonts w:ascii="Cambria" w:hAnsi="Cambria"/>
        </w:rPr>
      </w:pPr>
      <w:r w:rsidRPr="003C5BB1">
        <w:rPr>
          <w:rFonts w:ascii="Cambria" w:hAnsi="Cambria"/>
        </w:rPr>
        <w:t xml:space="preserve">Sol. </w:t>
      </w:r>
    </w:p>
    <w:p w14:paraId="20A8B6B9" w14:textId="4D6B04FF" w:rsidR="002043C3" w:rsidRPr="003C5BB1" w:rsidRDefault="002043C3" w:rsidP="002043C3">
      <w:pPr>
        <w:spacing w:after="0" w:line="264" w:lineRule="auto"/>
        <w:ind w:left="547" w:hanging="547"/>
        <w:rPr>
          <w:rFonts w:ascii="Cambria" w:eastAsiaTheme="minorEastAsia" w:hAnsi="Cambria"/>
          <w:iCs/>
        </w:rPr>
      </w:pPr>
      <w:r w:rsidRPr="003C5BB1">
        <w:rPr>
          <w:rFonts w:ascii="Cambria" w:hAnsi="Cambria"/>
        </w:rPr>
        <w:t xml:space="preserve">Average Period = </w:t>
      </w:r>
      <m:oMath>
        <m:f>
          <m:fPr>
            <m:ctrlPr>
              <w:rPr>
                <w:rFonts w:ascii="Cambria Math" w:hAnsi="Cambria Math"/>
                <w:iCs/>
              </w:rPr>
            </m:ctrlPr>
          </m:fPr>
          <m:num>
            <m:r>
              <m:rPr>
                <m:sty m:val="p"/>
              </m:rPr>
              <w:rPr>
                <w:rFonts w:ascii="Cambria Math" w:hAnsi="Cambria Math"/>
              </w:rPr>
              <m:t>Months left after first drawing+Months left after last drawing</m:t>
            </m:r>
          </m:num>
          <m:den>
            <m:r>
              <m:rPr>
                <m:sty m:val="p"/>
              </m:rPr>
              <w:rPr>
                <w:rFonts w:ascii="Cambria Math" w:hAnsi="Cambria Math"/>
              </w:rPr>
              <m:t>2</m:t>
            </m:r>
          </m:den>
        </m:f>
        <m:r>
          <m:rPr>
            <m:sty m:val="p"/>
          </m:rPr>
          <w:rPr>
            <w:rFonts w:ascii="Cambria Math" w:hAnsi="Cambria Math"/>
          </w:rPr>
          <m:t>=</m:t>
        </m:r>
        <m:f>
          <m:fPr>
            <m:ctrlPr>
              <w:rPr>
                <w:rFonts w:ascii="Cambria Math" w:hAnsi="Cambria Math"/>
                <w:iCs/>
              </w:rPr>
            </m:ctrlPr>
          </m:fPr>
          <m:num>
            <m:r>
              <m:rPr>
                <m:sty m:val="p"/>
              </m:rPr>
              <w:rPr>
                <w:rFonts w:ascii="Cambria Math" w:hAnsi="Cambria Math"/>
              </w:rPr>
              <m:t>12+3</m:t>
            </m:r>
          </m:num>
          <m:den>
            <m:r>
              <m:rPr>
                <m:sty m:val="p"/>
              </m:rPr>
              <w:rPr>
                <w:rFonts w:ascii="Cambria Math" w:hAnsi="Cambria Math"/>
              </w:rPr>
              <m:t>2</m:t>
            </m:r>
          </m:den>
        </m:f>
        <m:r>
          <m:rPr>
            <m:sty m:val="p"/>
          </m:rPr>
          <w:rPr>
            <w:rFonts w:ascii="Cambria Math" w:hAnsi="Cambria Math"/>
          </w:rPr>
          <m:t>=</m:t>
        </m:r>
        <m:f>
          <m:fPr>
            <m:ctrlPr>
              <w:rPr>
                <w:rFonts w:ascii="Cambria Math" w:hAnsi="Cambria Math"/>
                <w:iCs/>
              </w:rPr>
            </m:ctrlPr>
          </m:fPr>
          <m:num>
            <m:r>
              <m:rPr>
                <m:sty m:val="p"/>
              </m:rPr>
              <w:rPr>
                <w:rFonts w:ascii="Cambria Math" w:hAnsi="Cambria Math"/>
              </w:rPr>
              <m:t>15</m:t>
            </m:r>
          </m:num>
          <m:den>
            <m:r>
              <m:rPr>
                <m:sty m:val="p"/>
              </m:rPr>
              <w:rPr>
                <w:rFonts w:ascii="Cambria Math" w:hAnsi="Cambria Math"/>
              </w:rPr>
              <m:t>2</m:t>
            </m:r>
          </m:den>
        </m:f>
        <m:r>
          <m:rPr>
            <m:sty m:val="p"/>
          </m:rPr>
          <w:rPr>
            <w:rFonts w:ascii="Cambria Math" w:hAnsi="Cambria Math"/>
          </w:rPr>
          <m:t>=7.5 months</m:t>
        </m:r>
      </m:oMath>
    </w:p>
    <w:p w14:paraId="0376A403" w14:textId="3DB8D4CE" w:rsidR="002043C3" w:rsidRPr="003C5BB1" w:rsidRDefault="002043C3" w:rsidP="002043C3">
      <w:pPr>
        <w:spacing w:after="0" w:line="264" w:lineRule="auto"/>
        <w:ind w:left="547" w:hanging="547"/>
        <w:rPr>
          <w:rFonts w:ascii="Cambria" w:eastAsiaTheme="minorEastAsia" w:hAnsi="Cambria"/>
        </w:rPr>
      </w:pPr>
      <w:r w:rsidRPr="003C5BB1">
        <w:rPr>
          <w:rFonts w:ascii="Cambria" w:hAnsi="Cambria"/>
        </w:rPr>
        <w:t>Interest on Drawings=</w:t>
      </w:r>
      <m:oMath>
        <m:r>
          <w:rPr>
            <w:rFonts w:ascii="Cambria Math" w:hAnsi="Cambria Math"/>
          </w:rPr>
          <m:t>₹30,000×4×8%×</m:t>
        </m:r>
        <m:f>
          <m:fPr>
            <m:ctrlPr>
              <w:rPr>
                <w:rFonts w:ascii="Cambria Math" w:hAnsi="Cambria Math"/>
                <w:i/>
              </w:rPr>
            </m:ctrlPr>
          </m:fPr>
          <m:num>
            <m:r>
              <w:rPr>
                <w:rFonts w:ascii="Cambria Math" w:hAnsi="Cambria Math"/>
              </w:rPr>
              <m:t>7.5</m:t>
            </m:r>
          </m:num>
          <m:den>
            <m:r>
              <w:rPr>
                <w:rFonts w:ascii="Cambria Math" w:hAnsi="Cambria Math"/>
              </w:rPr>
              <m:t>12</m:t>
            </m:r>
          </m:den>
        </m:f>
        <m:r>
          <w:rPr>
            <w:rFonts w:ascii="Cambria Math" w:hAnsi="Cambria Math"/>
          </w:rPr>
          <m:t>=₹6,000</m:t>
        </m:r>
      </m:oMath>
    </w:p>
    <w:p w14:paraId="03EF05EE" w14:textId="77777777" w:rsidR="006D3FCB" w:rsidRPr="003C5BB1" w:rsidRDefault="006D3FCB" w:rsidP="000A3B81">
      <w:pPr>
        <w:spacing w:after="0" w:line="226" w:lineRule="auto"/>
        <w:ind w:left="547" w:hanging="547"/>
        <w:jc w:val="both"/>
        <w:rPr>
          <w:rFonts w:ascii="Cambria" w:hAnsi="Cambria"/>
        </w:rPr>
      </w:pPr>
    </w:p>
    <w:p w14:paraId="74C0E4BC" w14:textId="20DAC61D" w:rsidR="000A3B81" w:rsidRPr="003C5BB1" w:rsidRDefault="000A3B81" w:rsidP="000A3B81">
      <w:pPr>
        <w:spacing w:after="0" w:line="226" w:lineRule="auto"/>
        <w:ind w:left="547" w:hanging="547"/>
        <w:jc w:val="both"/>
        <w:rPr>
          <w:rFonts w:ascii="Cambria" w:hAnsi="Cambria"/>
        </w:rPr>
      </w:pPr>
      <w:r w:rsidRPr="003C5BB1">
        <w:rPr>
          <w:rFonts w:ascii="Cambria" w:hAnsi="Cambria"/>
        </w:rPr>
        <w:t>S7. Ans. (d)</w:t>
      </w:r>
    </w:p>
    <w:p w14:paraId="271401C6" w14:textId="77777777" w:rsidR="000A3B81" w:rsidRPr="003C5BB1" w:rsidRDefault="000A3B81" w:rsidP="000A3B81">
      <w:pPr>
        <w:spacing w:after="0" w:line="226" w:lineRule="auto"/>
        <w:ind w:left="547" w:hanging="547"/>
        <w:jc w:val="both"/>
        <w:rPr>
          <w:rFonts w:ascii="Cambria" w:hAnsi="Cambria"/>
        </w:rPr>
      </w:pPr>
      <w:r w:rsidRPr="003C5BB1">
        <w:rPr>
          <w:rFonts w:ascii="Cambria" w:hAnsi="Cambria"/>
        </w:rPr>
        <w:t xml:space="preserve">Sol. </w:t>
      </w:r>
    </w:p>
    <w:p w14:paraId="4594DDF9" w14:textId="77777777" w:rsidR="000A3B81" w:rsidRPr="003C5BB1" w:rsidRDefault="000A3B81" w:rsidP="000A3B81">
      <w:pPr>
        <w:spacing w:after="0" w:line="226" w:lineRule="auto"/>
        <w:ind w:left="547" w:hanging="547"/>
        <w:jc w:val="both"/>
        <w:rPr>
          <w:rFonts w:ascii="Cambria" w:hAnsi="Cambria"/>
        </w:rPr>
      </w:pPr>
      <w:r w:rsidRPr="003C5BB1">
        <w:rPr>
          <w:rFonts w:ascii="Cambria" w:hAnsi="Cambria"/>
        </w:rPr>
        <w:t>Gaining Ratio = New Ratio – Old Ratio</w:t>
      </w:r>
    </w:p>
    <w:p w14:paraId="7B147983" w14:textId="46209F10" w:rsidR="000A3B81" w:rsidRPr="003C5BB1" w:rsidRDefault="000A3B81" w:rsidP="000A3B81">
      <w:pPr>
        <w:spacing w:after="0" w:line="226" w:lineRule="auto"/>
        <w:ind w:left="547" w:hanging="547"/>
        <w:jc w:val="both"/>
        <w:rPr>
          <w:rFonts w:ascii="Cambria" w:eastAsiaTheme="minorEastAsia" w:hAnsi="Cambria"/>
        </w:rPr>
      </w:pPr>
      <w:r w:rsidRPr="003C5BB1">
        <w:rPr>
          <w:rFonts w:ascii="Cambria" w:hAnsi="Cambria"/>
        </w:rPr>
        <w:t>A’s Gain=</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p>
    <w:p w14:paraId="5B86918C" w14:textId="3C5916AA" w:rsidR="000A3B81" w:rsidRPr="003C5BB1" w:rsidRDefault="000A3B81" w:rsidP="000A3B81">
      <w:pPr>
        <w:spacing w:after="0" w:line="226" w:lineRule="auto"/>
        <w:jc w:val="both"/>
        <w:rPr>
          <w:rFonts w:ascii="Cambria" w:eastAsiaTheme="minorEastAsia" w:hAnsi="Cambria"/>
        </w:rPr>
      </w:pPr>
      <w:r w:rsidRPr="003C5BB1">
        <w:rPr>
          <w:rFonts w:ascii="Cambria" w:eastAsiaTheme="minorEastAsia" w:hAnsi="Cambria"/>
        </w:rPr>
        <w:t xml:space="preserve">C’s Gain =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m:t>
            </m:r>
          </m:den>
        </m:f>
      </m:oMath>
    </w:p>
    <w:p w14:paraId="548A848B" w14:textId="77777777" w:rsidR="000A3B81" w:rsidRPr="003C5BB1" w:rsidRDefault="000A3B81" w:rsidP="000A3B81">
      <w:pPr>
        <w:spacing w:after="0" w:line="226" w:lineRule="auto"/>
        <w:jc w:val="both"/>
        <w:rPr>
          <w:rFonts w:ascii="Cambria" w:eastAsiaTheme="minorEastAsia" w:hAnsi="Cambria"/>
        </w:rPr>
      </w:pPr>
      <w:r w:rsidRPr="003C5BB1">
        <w:rPr>
          <w:rFonts w:ascii="Cambria" w:eastAsiaTheme="minorEastAsia" w:hAnsi="Cambria"/>
        </w:rPr>
        <w:t xml:space="preserve">Gaining ratio = </w:t>
      </w:r>
      <w:proofErr w:type="gramStart"/>
      <w:r w:rsidRPr="003C5BB1">
        <w:rPr>
          <w:rFonts w:ascii="Cambria" w:eastAsiaTheme="minorEastAsia" w:hAnsi="Cambria"/>
        </w:rPr>
        <w:t>A :</w:t>
      </w:r>
      <w:proofErr w:type="gramEnd"/>
      <w:r w:rsidRPr="003C5BB1">
        <w:rPr>
          <w:rFonts w:ascii="Cambria" w:eastAsiaTheme="minorEastAsia" w:hAnsi="Cambria"/>
        </w:rPr>
        <w:t xml:space="preserve"> C = </w:t>
      </w:r>
      <w:proofErr w:type="gramStart"/>
      <w:r w:rsidRPr="003C5BB1">
        <w:rPr>
          <w:rFonts w:ascii="Cambria" w:eastAsiaTheme="minorEastAsia" w:hAnsi="Cambria"/>
        </w:rPr>
        <w:t>1 :</w:t>
      </w:r>
      <w:proofErr w:type="gramEnd"/>
      <w:r w:rsidRPr="003C5BB1">
        <w:rPr>
          <w:rFonts w:ascii="Cambria" w:eastAsiaTheme="minorEastAsia" w:hAnsi="Cambria"/>
        </w:rPr>
        <w:t xml:space="preserve"> 2 </w:t>
      </w:r>
    </w:p>
    <w:p w14:paraId="6AE301EB" w14:textId="77777777" w:rsidR="002C2F3B" w:rsidRPr="003C5BB1" w:rsidRDefault="002C2F3B" w:rsidP="004A7BF1">
      <w:pPr>
        <w:spacing w:after="0" w:line="240" w:lineRule="auto"/>
        <w:ind w:left="547" w:hanging="547"/>
        <w:jc w:val="both"/>
        <w:rPr>
          <w:rFonts w:ascii="Cambria" w:hAnsi="Cambria"/>
        </w:rPr>
      </w:pPr>
    </w:p>
    <w:p w14:paraId="0F2E126F" w14:textId="1F7BC937" w:rsidR="004A7BF1" w:rsidRPr="003C5BB1" w:rsidRDefault="004A7BF1" w:rsidP="004A7BF1">
      <w:pPr>
        <w:spacing w:after="0" w:line="240" w:lineRule="auto"/>
        <w:ind w:left="547" w:hanging="547"/>
        <w:jc w:val="both"/>
        <w:rPr>
          <w:rFonts w:ascii="Cambria" w:hAnsi="Cambria"/>
        </w:rPr>
      </w:pPr>
      <w:r w:rsidRPr="003C5BB1">
        <w:rPr>
          <w:rFonts w:ascii="Cambria" w:hAnsi="Cambria"/>
        </w:rPr>
        <w:t>S8. Ans. (a)</w:t>
      </w:r>
    </w:p>
    <w:p w14:paraId="7585F454" w14:textId="77777777" w:rsidR="004A7BF1" w:rsidRPr="003C5BB1" w:rsidRDefault="004A7BF1" w:rsidP="004A7BF1">
      <w:pPr>
        <w:spacing w:after="0" w:line="240" w:lineRule="auto"/>
        <w:ind w:left="547" w:hanging="547"/>
        <w:jc w:val="both"/>
        <w:rPr>
          <w:rFonts w:ascii="Cambria" w:hAnsi="Cambria"/>
        </w:rPr>
      </w:pPr>
      <w:r w:rsidRPr="003C5BB1">
        <w:rPr>
          <w:rFonts w:ascii="Cambria" w:hAnsi="Cambria"/>
        </w:rPr>
        <w:t>Sol.</w:t>
      </w:r>
    </w:p>
    <w:tbl>
      <w:tblPr>
        <w:tblStyle w:val="TableGrid"/>
        <w:tblW w:w="4524" w:type="dxa"/>
        <w:tblInd w:w="155" w:type="dxa"/>
        <w:tblLook w:val="04A0" w:firstRow="1" w:lastRow="0" w:firstColumn="1" w:lastColumn="0" w:noHBand="0" w:noVBand="1"/>
      </w:tblPr>
      <w:tblGrid>
        <w:gridCol w:w="559"/>
        <w:gridCol w:w="1701"/>
        <w:gridCol w:w="633"/>
        <w:gridCol w:w="1631"/>
      </w:tblGrid>
      <w:tr w:rsidR="004A7BF1" w:rsidRPr="003C5BB1" w14:paraId="52479A29" w14:textId="77777777" w:rsidTr="00AE5D7A">
        <w:trPr>
          <w:trHeight w:val="217"/>
        </w:trPr>
        <w:tc>
          <w:tcPr>
            <w:tcW w:w="2047" w:type="dxa"/>
            <w:gridSpan w:val="2"/>
          </w:tcPr>
          <w:p w14:paraId="2EFB29B6" w14:textId="77777777" w:rsidR="004A7BF1" w:rsidRPr="003C5BB1" w:rsidRDefault="004A7BF1" w:rsidP="00AE5D7A">
            <w:pPr>
              <w:ind w:left="547" w:hanging="547"/>
              <w:jc w:val="center"/>
              <w:rPr>
                <w:rFonts w:ascii="Cambria" w:hAnsi="Cambria"/>
                <w:sz w:val="24"/>
                <w:szCs w:val="24"/>
              </w:rPr>
            </w:pPr>
            <w:r w:rsidRPr="003C5BB1">
              <w:rPr>
                <w:rFonts w:ascii="Cambria" w:hAnsi="Cambria"/>
                <w:sz w:val="24"/>
                <w:szCs w:val="24"/>
              </w:rPr>
              <w:t>LIST - I</w:t>
            </w:r>
          </w:p>
        </w:tc>
        <w:tc>
          <w:tcPr>
            <w:tcW w:w="2477" w:type="dxa"/>
            <w:gridSpan w:val="2"/>
          </w:tcPr>
          <w:p w14:paraId="747BF3DF" w14:textId="77777777" w:rsidR="004A7BF1" w:rsidRPr="003C5BB1" w:rsidRDefault="004A7BF1" w:rsidP="00AE5D7A">
            <w:pPr>
              <w:ind w:left="547" w:hanging="547"/>
              <w:jc w:val="center"/>
              <w:rPr>
                <w:rFonts w:ascii="Cambria" w:hAnsi="Cambria"/>
                <w:sz w:val="24"/>
                <w:szCs w:val="24"/>
              </w:rPr>
            </w:pPr>
            <w:r w:rsidRPr="003C5BB1">
              <w:rPr>
                <w:rFonts w:ascii="Cambria" w:hAnsi="Cambria"/>
                <w:sz w:val="24"/>
                <w:szCs w:val="24"/>
              </w:rPr>
              <w:t>LIST - II</w:t>
            </w:r>
          </w:p>
        </w:tc>
      </w:tr>
      <w:tr w:rsidR="004A7BF1" w:rsidRPr="003C5BB1" w14:paraId="0E061FB2" w14:textId="77777777" w:rsidTr="00AE5D7A">
        <w:trPr>
          <w:trHeight w:val="444"/>
        </w:trPr>
        <w:tc>
          <w:tcPr>
            <w:tcW w:w="502" w:type="dxa"/>
          </w:tcPr>
          <w:p w14:paraId="1FF20351"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(A)</w:t>
            </w:r>
          </w:p>
        </w:tc>
        <w:tc>
          <w:tcPr>
            <w:tcW w:w="1545" w:type="dxa"/>
          </w:tcPr>
          <w:p w14:paraId="22760DE6"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No. of years purchase</w:t>
            </w:r>
          </w:p>
        </w:tc>
        <w:tc>
          <w:tcPr>
            <w:tcW w:w="564" w:type="dxa"/>
          </w:tcPr>
          <w:p w14:paraId="25FFF15F"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(IV)</w:t>
            </w:r>
          </w:p>
        </w:tc>
        <w:tc>
          <w:tcPr>
            <w:tcW w:w="1913" w:type="dxa"/>
          </w:tcPr>
          <w:p w14:paraId="66DB818E" w14:textId="77777777" w:rsidR="004A7BF1" w:rsidRPr="003C5BB1" w:rsidRDefault="004A7BF1" w:rsidP="00AE5D7A">
            <w:pPr>
              <w:jc w:val="both"/>
              <w:rPr>
                <w:rFonts w:ascii="Cambria" w:hAnsi="Cambria"/>
                <w:sz w:val="24"/>
                <w:szCs w:val="24"/>
              </w:rPr>
            </w:pPr>
            <w:r w:rsidRPr="003C5BB1">
              <w:rPr>
                <w:rFonts w:ascii="Cambria" w:hAnsi="Cambria"/>
                <w:sz w:val="24"/>
                <w:szCs w:val="24"/>
              </w:rPr>
              <w:t>No. of years the firm continues to earn same profit</w:t>
            </w:r>
          </w:p>
        </w:tc>
      </w:tr>
      <w:tr w:rsidR="004A7BF1" w:rsidRPr="003C5BB1" w14:paraId="6C32965F" w14:textId="77777777" w:rsidTr="00AE5D7A">
        <w:trPr>
          <w:trHeight w:val="226"/>
        </w:trPr>
        <w:tc>
          <w:tcPr>
            <w:tcW w:w="502" w:type="dxa"/>
          </w:tcPr>
          <w:p w14:paraId="1BFAB3DA"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(B)</w:t>
            </w:r>
          </w:p>
        </w:tc>
        <w:tc>
          <w:tcPr>
            <w:tcW w:w="1545" w:type="dxa"/>
          </w:tcPr>
          <w:p w14:paraId="7BD270E8"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Super profit</w:t>
            </w:r>
          </w:p>
        </w:tc>
        <w:tc>
          <w:tcPr>
            <w:tcW w:w="564" w:type="dxa"/>
          </w:tcPr>
          <w:p w14:paraId="534275C2"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(I)</w:t>
            </w:r>
          </w:p>
        </w:tc>
        <w:tc>
          <w:tcPr>
            <w:tcW w:w="1913" w:type="dxa"/>
          </w:tcPr>
          <w:p w14:paraId="37AC6885" w14:textId="77777777" w:rsidR="004A7BF1" w:rsidRPr="003C5BB1" w:rsidRDefault="004A7BF1" w:rsidP="00AE5D7A">
            <w:pPr>
              <w:jc w:val="both"/>
              <w:rPr>
                <w:rFonts w:ascii="Cambria" w:hAnsi="Cambria"/>
                <w:sz w:val="24"/>
                <w:szCs w:val="24"/>
              </w:rPr>
            </w:pPr>
            <w:r w:rsidRPr="003C5BB1">
              <w:rPr>
                <w:rFonts w:ascii="Cambria" w:hAnsi="Cambria"/>
                <w:sz w:val="24"/>
                <w:szCs w:val="24"/>
              </w:rPr>
              <w:t xml:space="preserve">Excess of average profit over normal profit </w:t>
            </w:r>
          </w:p>
        </w:tc>
      </w:tr>
      <w:tr w:rsidR="004A7BF1" w:rsidRPr="003C5BB1" w14:paraId="37F3355D" w14:textId="77777777" w:rsidTr="00AE5D7A">
        <w:trPr>
          <w:trHeight w:val="217"/>
        </w:trPr>
        <w:tc>
          <w:tcPr>
            <w:tcW w:w="502" w:type="dxa"/>
          </w:tcPr>
          <w:p w14:paraId="6BBFB577"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(C)</w:t>
            </w:r>
          </w:p>
        </w:tc>
        <w:tc>
          <w:tcPr>
            <w:tcW w:w="1545" w:type="dxa"/>
          </w:tcPr>
          <w:p w14:paraId="34A19948"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Normal profit</w:t>
            </w:r>
          </w:p>
        </w:tc>
        <w:tc>
          <w:tcPr>
            <w:tcW w:w="564" w:type="dxa"/>
          </w:tcPr>
          <w:p w14:paraId="36822D28"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(II)</w:t>
            </w:r>
          </w:p>
        </w:tc>
        <w:tc>
          <w:tcPr>
            <w:tcW w:w="1913" w:type="dxa"/>
          </w:tcPr>
          <w:p w14:paraId="3B0B34BE" w14:textId="77777777" w:rsidR="004A7BF1" w:rsidRPr="003C5BB1" w:rsidRDefault="004A7BF1" w:rsidP="00AE5D7A">
            <w:pPr>
              <w:jc w:val="both"/>
              <w:rPr>
                <w:rFonts w:ascii="Cambria" w:hAnsi="Cambria"/>
                <w:sz w:val="24"/>
                <w:szCs w:val="24"/>
              </w:rPr>
            </w:pPr>
            <w:r w:rsidRPr="003C5BB1">
              <w:rPr>
                <w:rFonts w:ascii="Cambria" w:hAnsi="Cambria"/>
                <w:sz w:val="24"/>
                <w:szCs w:val="24"/>
              </w:rPr>
              <w:t xml:space="preserve">Expected profit in the industry </w:t>
            </w:r>
          </w:p>
        </w:tc>
      </w:tr>
      <w:tr w:rsidR="004A7BF1" w:rsidRPr="003C5BB1" w14:paraId="0508D17A" w14:textId="77777777" w:rsidTr="00AE5D7A">
        <w:trPr>
          <w:trHeight w:val="226"/>
        </w:trPr>
        <w:tc>
          <w:tcPr>
            <w:tcW w:w="502" w:type="dxa"/>
          </w:tcPr>
          <w:p w14:paraId="0853108C"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(D)</w:t>
            </w:r>
          </w:p>
        </w:tc>
        <w:tc>
          <w:tcPr>
            <w:tcW w:w="1545" w:type="dxa"/>
          </w:tcPr>
          <w:p w14:paraId="75AE8394"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Average profit</w:t>
            </w:r>
          </w:p>
        </w:tc>
        <w:tc>
          <w:tcPr>
            <w:tcW w:w="564" w:type="dxa"/>
          </w:tcPr>
          <w:p w14:paraId="42FAB1DD" w14:textId="77777777" w:rsidR="004A7BF1" w:rsidRPr="003C5BB1" w:rsidRDefault="004A7BF1" w:rsidP="00AE5D7A">
            <w:pPr>
              <w:ind w:left="547" w:hanging="547"/>
              <w:jc w:val="both"/>
              <w:rPr>
                <w:rFonts w:ascii="Cambria" w:hAnsi="Cambria"/>
                <w:sz w:val="24"/>
                <w:szCs w:val="24"/>
              </w:rPr>
            </w:pPr>
            <w:r w:rsidRPr="003C5BB1">
              <w:rPr>
                <w:rFonts w:ascii="Cambria" w:hAnsi="Cambria"/>
                <w:sz w:val="24"/>
                <w:szCs w:val="24"/>
              </w:rPr>
              <w:t>(III)</w:t>
            </w:r>
          </w:p>
        </w:tc>
        <w:tc>
          <w:tcPr>
            <w:tcW w:w="1913" w:type="dxa"/>
          </w:tcPr>
          <w:p w14:paraId="268630BF" w14:textId="77777777" w:rsidR="004A7BF1" w:rsidRPr="003C5BB1" w:rsidRDefault="004A7BF1" w:rsidP="00AE5D7A">
            <w:pPr>
              <w:jc w:val="both"/>
              <w:rPr>
                <w:rFonts w:ascii="Cambria" w:hAnsi="Cambria"/>
                <w:sz w:val="24"/>
                <w:szCs w:val="24"/>
              </w:rPr>
            </w:pPr>
            <w:r w:rsidRPr="003C5BB1">
              <w:rPr>
                <w:rFonts w:ascii="Cambria" w:hAnsi="Cambria"/>
                <w:sz w:val="24"/>
                <w:szCs w:val="24"/>
              </w:rPr>
              <w:t xml:space="preserve">Total profit divided by number of years </w:t>
            </w:r>
          </w:p>
        </w:tc>
      </w:tr>
    </w:tbl>
    <w:p w14:paraId="645CB915" w14:textId="77777777" w:rsidR="002C2F3B" w:rsidRPr="003C5BB1" w:rsidRDefault="002C2F3B" w:rsidP="00992403">
      <w:pPr>
        <w:spacing w:after="0" w:line="240" w:lineRule="auto"/>
        <w:ind w:left="547" w:hanging="547"/>
        <w:jc w:val="both"/>
        <w:rPr>
          <w:rFonts w:ascii="Cambria" w:hAnsi="Cambria"/>
        </w:rPr>
      </w:pPr>
    </w:p>
    <w:p w14:paraId="2FE7F1D9" w14:textId="21CD8464" w:rsidR="00992403" w:rsidRPr="003C5BB1" w:rsidRDefault="00992403" w:rsidP="00992403">
      <w:pPr>
        <w:spacing w:after="0" w:line="240" w:lineRule="auto"/>
        <w:ind w:left="547" w:hanging="547"/>
        <w:jc w:val="both"/>
        <w:rPr>
          <w:rFonts w:ascii="Cambria" w:hAnsi="Cambria"/>
        </w:rPr>
      </w:pPr>
      <w:r w:rsidRPr="003C5BB1">
        <w:rPr>
          <w:rFonts w:ascii="Cambria" w:hAnsi="Cambria"/>
        </w:rPr>
        <w:t>S9. Ans. (c)</w:t>
      </w:r>
    </w:p>
    <w:p w14:paraId="463E62C8" w14:textId="77777777" w:rsidR="00CB6538" w:rsidRPr="003C5BB1" w:rsidRDefault="00992403" w:rsidP="00992403">
      <w:pPr>
        <w:spacing w:after="0" w:line="240" w:lineRule="auto"/>
        <w:jc w:val="both"/>
        <w:rPr>
          <w:rFonts w:ascii="Cambria" w:hAnsi="Cambria"/>
        </w:rPr>
      </w:pPr>
      <w:r w:rsidRPr="003C5BB1">
        <w:rPr>
          <w:rFonts w:ascii="Cambria" w:hAnsi="Cambria"/>
        </w:rPr>
        <w:t xml:space="preserve">Sol. </w:t>
      </w:r>
    </w:p>
    <w:p w14:paraId="7035CD06" w14:textId="57893836" w:rsidR="00992403" w:rsidRPr="003C5BB1" w:rsidRDefault="00992403" w:rsidP="00992403">
      <w:pPr>
        <w:spacing w:after="0" w:line="240" w:lineRule="auto"/>
        <w:jc w:val="both"/>
        <w:rPr>
          <w:rFonts w:ascii="Cambria" w:hAnsi="Cambria"/>
        </w:rPr>
      </w:pPr>
      <w:r w:rsidRPr="003C5BB1">
        <w:rPr>
          <w:rFonts w:ascii="Cambria" w:hAnsi="Cambria"/>
        </w:rPr>
        <w:t>The other name by which the Liquid ratio is known is Quick Ratio or Acid Test Ratio. This ratio measures a company's ability to meet its short-term liabilities using its most liquid assets and is often used to assess its short-term financial health</w:t>
      </w:r>
    </w:p>
    <w:p w14:paraId="238B6BA7" w14:textId="77777777" w:rsidR="00C65684" w:rsidRPr="003C5BB1" w:rsidRDefault="00C65684" w:rsidP="00261705">
      <w:pPr>
        <w:shd w:val="clear" w:color="auto" w:fill="FFFFFF" w:themeFill="background1"/>
        <w:spacing w:after="0" w:line="240" w:lineRule="auto"/>
        <w:ind w:left="547" w:hanging="547"/>
        <w:jc w:val="both"/>
        <w:rPr>
          <w:rFonts w:ascii="Cambria" w:hAnsi="Cambria"/>
        </w:rPr>
      </w:pPr>
    </w:p>
    <w:p w14:paraId="5B599609" w14:textId="5FA04BDE" w:rsidR="00261705" w:rsidRPr="003C5BB1" w:rsidRDefault="00261705" w:rsidP="00261705">
      <w:pPr>
        <w:shd w:val="clear" w:color="auto" w:fill="FFFFFF" w:themeFill="background1"/>
        <w:spacing w:after="0" w:line="240" w:lineRule="auto"/>
        <w:ind w:left="547" w:hanging="547"/>
        <w:jc w:val="both"/>
        <w:rPr>
          <w:rFonts w:ascii="Cambria" w:hAnsi="Cambria"/>
        </w:rPr>
      </w:pPr>
      <w:r w:rsidRPr="003C5BB1">
        <w:rPr>
          <w:rFonts w:ascii="Cambria" w:hAnsi="Cambria"/>
        </w:rPr>
        <w:lastRenderedPageBreak/>
        <w:t>S10. Ans. (b)</w:t>
      </w:r>
    </w:p>
    <w:p w14:paraId="744B1620" w14:textId="77777777" w:rsidR="0097597E" w:rsidRPr="003C5BB1" w:rsidRDefault="00261705" w:rsidP="00261705">
      <w:pPr>
        <w:shd w:val="clear" w:color="auto" w:fill="FFFFFF" w:themeFill="background1"/>
        <w:spacing w:after="0" w:line="240" w:lineRule="auto"/>
        <w:jc w:val="both"/>
        <w:rPr>
          <w:rFonts w:ascii="Cambria" w:hAnsi="Cambria"/>
        </w:rPr>
      </w:pPr>
      <w:r w:rsidRPr="003C5BB1">
        <w:rPr>
          <w:rFonts w:ascii="Cambria" w:hAnsi="Cambria"/>
        </w:rPr>
        <w:t xml:space="preserve">Sol. </w:t>
      </w:r>
    </w:p>
    <w:p w14:paraId="16DDAD24" w14:textId="6CA796A5" w:rsidR="00261705" w:rsidRPr="00AD12F2" w:rsidRDefault="00261705" w:rsidP="00261705">
      <w:pPr>
        <w:shd w:val="clear" w:color="auto" w:fill="FFFFFF" w:themeFill="background1"/>
        <w:spacing w:after="0" w:line="240" w:lineRule="auto"/>
        <w:jc w:val="both"/>
        <w:rPr>
          <w:rFonts w:ascii="Cambria" w:hAnsi="Cambria"/>
        </w:rPr>
      </w:pPr>
      <w:r w:rsidRPr="003C5BB1">
        <w:rPr>
          <w:rFonts w:ascii="Cambria" w:hAnsi="Cambria"/>
        </w:rPr>
        <w:t>Redeemable debentures are those that are to be repaid by the issuing company either in a lump sum or in instalments during the lifetime of the company. This term specifies the debentures have a fixed term of maturity.</w:t>
      </w:r>
    </w:p>
    <w:p w14:paraId="3D837E5C" w14:textId="77777777" w:rsidR="00226CE8" w:rsidRPr="00AD12F2" w:rsidRDefault="00226CE8">
      <w:pPr>
        <w:rPr>
          <w:rFonts w:ascii="Cambria" w:hAnsi="Cambria"/>
        </w:rPr>
      </w:pPr>
    </w:p>
    <w:sectPr w:rsidR="00226CE8" w:rsidRPr="00AD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27"/>
    <w:rsid w:val="00000A95"/>
    <w:rsid w:val="00017102"/>
    <w:rsid w:val="0004321F"/>
    <w:rsid w:val="00072032"/>
    <w:rsid w:val="000724FF"/>
    <w:rsid w:val="00083381"/>
    <w:rsid w:val="000A3B81"/>
    <w:rsid w:val="000B1743"/>
    <w:rsid w:val="000C44E0"/>
    <w:rsid w:val="000F09FC"/>
    <w:rsid w:val="000F3BF4"/>
    <w:rsid w:val="000F4429"/>
    <w:rsid w:val="000F6FB1"/>
    <w:rsid w:val="00133D31"/>
    <w:rsid w:val="00136646"/>
    <w:rsid w:val="00140013"/>
    <w:rsid w:val="00153667"/>
    <w:rsid w:val="001953BE"/>
    <w:rsid w:val="001B3E72"/>
    <w:rsid w:val="001B6D7D"/>
    <w:rsid w:val="001C0527"/>
    <w:rsid w:val="001F1844"/>
    <w:rsid w:val="001F5948"/>
    <w:rsid w:val="002043C3"/>
    <w:rsid w:val="00211286"/>
    <w:rsid w:val="002221CD"/>
    <w:rsid w:val="00226CE8"/>
    <w:rsid w:val="002600AE"/>
    <w:rsid w:val="00261705"/>
    <w:rsid w:val="0026761A"/>
    <w:rsid w:val="0027315B"/>
    <w:rsid w:val="00285A60"/>
    <w:rsid w:val="002C02C2"/>
    <w:rsid w:val="002C2F3B"/>
    <w:rsid w:val="002E2DE6"/>
    <w:rsid w:val="002F63EC"/>
    <w:rsid w:val="003304C6"/>
    <w:rsid w:val="00360984"/>
    <w:rsid w:val="003753F0"/>
    <w:rsid w:val="00385C81"/>
    <w:rsid w:val="00386116"/>
    <w:rsid w:val="003C3F43"/>
    <w:rsid w:val="003C5BB1"/>
    <w:rsid w:val="003F4993"/>
    <w:rsid w:val="004436FC"/>
    <w:rsid w:val="00473A87"/>
    <w:rsid w:val="004A7BF1"/>
    <w:rsid w:val="004C1933"/>
    <w:rsid w:val="004D1FA0"/>
    <w:rsid w:val="00530528"/>
    <w:rsid w:val="00555163"/>
    <w:rsid w:val="00556183"/>
    <w:rsid w:val="00560B08"/>
    <w:rsid w:val="00565F0A"/>
    <w:rsid w:val="00585EFA"/>
    <w:rsid w:val="005E1108"/>
    <w:rsid w:val="005E2106"/>
    <w:rsid w:val="005E3667"/>
    <w:rsid w:val="005F2D6A"/>
    <w:rsid w:val="005F417B"/>
    <w:rsid w:val="006009A0"/>
    <w:rsid w:val="006200EB"/>
    <w:rsid w:val="0063093F"/>
    <w:rsid w:val="00663424"/>
    <w:rsid w:val="00673F8B"/>
    <w:rsid w:val="006A07E2"/>
    <w:rsid w:val="006A7B86"/>
    <w:rsid w:val="006D3FCB"/>
    <w:rsid w:val="00700034"/>
    <w:rsid w:val="00724A39"/>
    <w:rsid w:val="00727A7E"/>
    <w:rsid w:val="00732939"/>
    <w:rsid w:val="007471A8"/>
    <w:rsid w:val="00783740"/>
    <w:rsid w:val="00786F8B"/>
    <w:rsid w:val="00790EEB"/>
    <w:rsid w:val="007A586E"/>
    <w:rsid w:val="00816F35"/>
    <w:rsid w:val="00937EAC"/>
    <w:rsid w:val="00962130"/>
    <w:rsid w:val="00966910"/>
    <w:rsid w:val="009736F2"/>
    <w:rsid w:val="0097597E"/>
    <w:rsid w:val="00992403"/>
    <w:rsid w:val="009B0DC2"/>
    <w:rsid w:val="009C3554"/>
    <w:rsid w:val="00A02F6C"/>
    <w:rsid w:val="00A128B8"/>
    <w:rsid w:val="00A15398"/>
    <w:rsid w:val="00A25AD2"/>
    <w:rsid w:val="00A4473A"/>
    <w:rsid w:val="00A46B51"/>
    <w:rsid w:val="00AB36E1"/>
    <w:rsid w:val="00AB66BB"/>
    <w:rsid w:val="00AD12F2"/>
    <w:rsid w:val="00AD3167"/>
    <w:rsid w:val="00AD5FCA"/>
    <w:rsid w:val="00AE2C9D"/>
    <w:rsid w:val="00B2596A"/>
    <w:rsid w:val="00B73047"/>
    <w:rsid w:val="00B81C53"/>
    <w:rsid w:val="00BA32AA"/>
    <w:rsid w:val="00BA36CD"/>
    <w:rsid w:val="00BA60E6"/>
    <w:rsid w:val="00BF0D6E"/>
    <w:rsid w:val="00BF0F20"/>
    <w:rsid w:val="00C4700B"/>
    <w:rsid w:val="00C52C0A"/>
    <w:rsid w:val="00C65684"/>
    <w:rsid w:val="00C71443"/>
    <w:rsid w:val="00CB29C3"/>
    <w:rsid w:val="00CB4257"/>
    <w:rsid w:val="00CB5BFD"/>
    <w:rsid w:val="00CB6538"/>
    <w:rsid w:val="00CE3492"/>
    <w:rsid w:val="00CE5455"/>
    <w:rsid w:val="00D03C9E"/>
    <w:rsid w:val="00D06014"/>
    <w:rsid w:val="00D12CEB"/>
    <w:rsid w:val="00D32E15"/>
    <w:rsid w:val="00D4639B"/>
    <w:rsid w:val="00D73913"/>
    <w:rsid w:val="00D75194"/>
    <w:rsid w:val="00D87C86"/>
    <w:rsid w:val="00D92AEC"/>
    <w:rsid w:val="00DA3D99"/>
    <w:rsid w:val="00DB2612"/>
    <w:rsid w:val="00DC5EE4"/>
    <w:rsid w:val="00DC7BCC"/>
    <w:rsid w:val="00E14ED9"/>
    <w:rsid w:val="00E26ED4"/>
    <w:rsid w:val="00E34D0B"/>
    <w:rsid w:val="00E556B5"/>
    <w:rsid w:val="00E80CE2"/>
    <w:rsid w:val="00E83666"/>
    <w:rsid w:val="00EB04B1"/>
    <w:rsid w:val="00EC0DE0"/>
    <w:rsid w:val="00EC36D4"/>
    <w:rsid w:val="00ED23E8"/>
    <w:rsid w:val="00EE002A"/>
    <w:rsid w:val="00EF03FC"/>
    <w:rsid w:val="00EF278E"/>
    <w:rsid w:val="00F000EC"/>
    <w:rsid w:val="00F02117"/>
    <w:rsid w:val="00F02FC0"/>
    <w:rsid w:val="00F11497"/>
    <w:rsid w:val="00F17D0F"/>
    <w:rsid w:val="00F746D1"/>
    <w:rsid w:val="00F90B2C"/>
    <w:rsid w:val="00F93584"/>
    <w:rsid w:val="00FD53CE"/>
    <w:rsid w:val="00FE576E"/>
    <w:rsid w:val="00FE651B"/>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5756"/>
  <w15:chartTrackingRefBased/>
  <w15:docId w15:val="{4B745950-9AB8-4764-B9F2-89FB81B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5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5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5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5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5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5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5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5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5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5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527"/>
    <w:rPr>
      <w:rFonts w:eastAsiaTheme="majorEastAsia" w:cstheme="majorBidi"/>
      <w:color w:val="272727" w:themeColor="text1" w:themeTint="D8"/>
    </w:rPr>
  </w:style>
  <w:style w:type="paragraph" w:styleId="Title">
    <w:name w:val="Title"/>
    <w:basedOn w:val="Normal"/>
    <w:next w:val="Normal"/>
    <w:link w:val="TitleChar"/>
    <w:uiPriority w:val="10"/>
    <w:qFormat/>
    <w:rsid w:val="001C0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527"/>
    <w:pPr>
      <w:spacing w:before="160"/>
      <w:jc w:val="center"/>
    </w:pPr>
    <w:rPr>
      <w:i/>
      <w:iCs/>
      <w:color w:val="404040" w:themeColor="text1" w:themeTint="BF"/>
    </w:rPr>
  </w:style>
  <w:style w:type="character" w:customStyle="1" w:styleId="QuoteChar">
    <w:name w:val="Quote Char"/>
    <w:basedOn w:val="DefaultParagraphFont"/>
    <w:link w:val="Quote"/>
    <w:uiPriority w:val="29"/>
    <w:rsid w:val="001C0527"/>
    <w:rPr>
      <w:i/>
      <w:iCs/>
      <w:color w:val="404040" w:themeColor="text1" w:themeTint="BF"/>
    </w:rPr>
  </w:style>
  <w:style w:type="paragraph" w:styleId="ListParagraph">
    <w:name w:val="List Paragraph"/>
    <w:basedOn w:val="Normal"/>
    <w:uiPriority w:val="34"/>
    <w:qFormat/>
    <w:rsid w:val="001C0527"/>
    <w:pPr>
      <w:ind w:left="720"/>
      <w:contextualSpacing/>
    </w:pPr>
  </w:style>
  <w:style w:type="character" w:styleId="IntenseEmphasis">
    <w:name w:val="Intense Emphasis"/>
    <w:basedOn w:val="DefaultParagraphFont"/>
    <w:uiPriority w:val="21"/>
    <w:qFormat/>
    <w:rsid w:val="001C0527"/>
    <w:rPr>
      <w:i/>
      <w:iCs/>
      <w:color w:val="2F5496" w:themeColor="accent1" w:themeShade="BF"/>
    </w:rPr>
  </w:style>
  <w:style w:type="paragraph" w:styleId="IntenseQuote">
    <w:name w:val="Intense Quote"/>
    <w:basedOn w:val="Normal"/>
    <w:next w:val="Normal"/>
    <w:link w:val="IntenseQuoteChar"/>
    <w:uiPriority w:val="30"/>
    <w:qFormat/>
    <w:rsid w:val="001C0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527"/>
    <w:rPr>
      <w:i/>
      <w:iCs/>
      <w:color w:val="2F5496" w:themeColor="accent1" w:themeShade="BF"/>
    </w:rPr>
  </w:style>
  <w:style w:type="character" w:styleId="IntenseReference">
    <w:name w:val="Intense Reference"/>
    <w:basedOn w:val="DefaultParagraphFont"/>
    <w:uiPriority w:val="32"/>
    <w:qFormat/>
    <w:rsid w:val="001C0527"/>
    <w:rPr>
      <w:b/>
      <w:bCs/>
      <w:smallCaps/>
      <w:color w:val="2F5496" w:themeColor="accent1" w:themeShade="BF"/>
      <w:spacing w:val="5"/>
    </w:rPr>
  </w:style>
  <w:style w:type="table" w:styleId="TableGrid">
    <w:name w:val="Table Grid"/>
    <w:basedOn w:val="TableNormal"/>
    <w:uiPriority w:val="39"/>
    <w:rsid w:val="0013664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416</cp:revision>
  <cp:lastPrinted>2025-05-14T07:02:00Z</cp:lastPrinted>
  <dcterms:created xsi:type="dcterms:W3CDTF">2025-05-14T06:09:00Z</dcterms:created>
  <dcterms:modified xsi:type="dcterms:W3CDTF">2025-05-14T07:05:00Z</dcterms:modified>
</cp:coreProperties>
</file>